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document.xml" ContentType="application/vnd.openxmlformats-officedocument.wordprocessingml.document.main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drawings/drawing3.xml" ContentType="application/vnd.openxmlformats-officedocument.drawingml.chartshapes+xml"/>
  <Override PartName="/word/drawings/drawing4.xml" ContentType="application/vnd.openxmlformats-officedocument.drawingml.chartshapes+xml"/>
  <Override PartName="/word/drawings/drawing5.xml" ContentType="application/vnd.openxmlformats-officedocument.drawingml.chartshapes+xml"/>
  <Override PartName="/word/drawings/drawing6.xml" ContentType="application/vnd.openxmlformats-officedocument.drawingml.chartshapes+xml"/>
  <Override PartName="/word/drawings/drawing7.xml" ContentType="application/vnd.openxmlformats-officedocument.drawingml.chartshap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theme/themeOverride1.xml" ContentType="application/vnd.openxmlformats-officedocument.themeOverrid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84097">
      <w:pPr>
        <w:jc w:val="center"/>
        <w:rPr>
          <w:rStyle w:val="8"/>
          <w:rFonts w:ascii="方正小标宋_GBK" w:eastAsia="方正小标宋_GBK" w:hAnsiTheme="minorEastAsia"/>
          <w:b w:val="0"/>
          <w:color w:val="auto"/>
          <w:sz w:val="36"/>
          <w:szCs w:val="36"/>
        </w:rPr>
      </w:pPr>
      <w:r>
        <w:rPr>
          <w:rStyle w:val="8"/>
          <w:rFonts w:hint="eastAsia" w:ascii="方正小标宋_GBK" w:eastAsia="方正小标宋_GBK" w:hAnsiTheme="minorEastAsia"/>
          <w:b w:val="0"/>
          <w:color w:val="auto"/>
          <w:sz w:val="36"/>
          <w:szCs w:val="36"/>
        </w:rPr>
        <w:t>晋城市城区202</w:t>
      </w:r>
      <w:r>
        <w:rPr>
          <w:rStyle w:val="8"/>
          <w:rFonts w:ascii="方正小标宋_GBK" w:eastAsia="方正小标宋_GBK" w:hAnsiTheme="minorEastAsia"/>
          <w:b w:val="0"/>
          <w:color w:val="auto"/>
          <w:sz w:val="36"/>
          <w:szCs w:val="36"/>
        </w:rPr>
        <w:t>3</w:t>
      </w:r>
      <w:r>
        <w:rPr>
          <w:rStyle w:val="8"/>
          <w:rFonts w:hint="eastAsia" w:ascii="方正小标宋_GBK" w:eastAsia="方正小标宋_GBK" w:hAnsiTheme="minorEastAsia"/>
          <w:b w:val="0"/>
          <w:color w:val="auto"/>
          <w:sz w:val="36"/>
          <w:szCs w:val="36"/>
        </w:rPr>
        <w:t>年国民经济和社会发展</w:t>
      </w:r>
    </w:p>
    <w:p w14:paraId="71C72CAB">
      <w:pPr>
        <w:jc w:val="center"/>
        <w:rPr>
          <w:rStyle w:val="8"/>
          <w:rFonts w:ascii="方正小标宋_GBK" w:eastAsia="方正小标宋_GBK" w:hAnsiTheme="minorEastAsia"/>
          <w:b w:val="0"/>
          <w:color w:val="auto"/>
          <w:sz w:val="36"/>
          <w:szCs w:val="36"/>
        </w:rPr>
      </w:pPr>
      <w:r>
        <w:rPr>
          <w:rStyle w:val="8"/>
          <w:rFonts w:hint="eastAsia" w:ascii="方正小标宋_GBK" w:eastAsia="方正小标宋_GBK" w:hAnsiTheme="minorEastAsia"/>
          <w:b w:val="0"/>
          <w:color w:val="auto"/>
          <w:sz w:val="36"/>
          <w:szCs w:val="36"/>
        </w:rPr>
        <w:t>统计公报</w:t>
      </w:r>
    </w:p>
    <w:p w14:paraId="0D7F130C">
      <w:pPr>
        <w:widowControl/>
        <w:wordWrap w:val="0"/>
        <w:spacing w:line="480" w:lineRule="auto"/>
        <w:jc w:val="center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晋城市城区统计局</w:t>
      </w:r>
    </w:p>
    <w:p w14:paraId="21CEE482">
      <w:pPr>
        <w:widowControl/>
        <w:wordWrap w:val="0"/>
        <w:spacing w:after="100" w:afterAutospacing="1" w:line="480" w:lineRule="auto"/>
        <w:jc w:val="center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202</w:t>
      </w:r>
      <w:r>
        <w:rPr>
          <w:rFonts w:ascii="宋体" w:hAnsi="宋体" w:eastAsia="宋体" w:cs="宋体"/>
          <w:color w:val="auto"/>
          <w:kern w:val="0"/>
          <w:sz w:val="24"/>
        </w:rPr>
        <w:t>4</w:t>
      </w: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年 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4</w:t>
      </w:r>
      <w:r>
        <w:rPr>
          <w:rFonts w:ascii="宋体" w:hAnsi="宋体" w:eastAsia="宋体" w:cs="宋体"/>
          <w:color w:val="auto"/>
          <w:kern w:val="0"/>
          <w:sz w:val="24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月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15</w:t>
      </w:r>
      <w:r>
        <w:rPr>
          <w:rFonts w:ascii="宋体" w:hAnsi="宋体" w:eastAsia="宋体" w:cs="宋体"/>
          <w:color w:val="auto"/>
          <w:kern w:val="0"/>
          <w:sz w:val="24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日</w:t>
      </w:r>
    </w:p>
    <w:p w14:paraId="76DD4BBB">
      <w:pPr>
        <w:widowControl/>
        <w:spacing w:before="100" w:beforeAutospacing="1" w:after="100" w:afterAutospacing="1" w:line="600" w:lineRule="exact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ascii="宋体" w:hAnsi="宋体" w:eastAsia="宋体" w:cs="宋体"/>
          <w:color w:val="auto"/>
          <w:kern w:val="0"/>
          <w:sz w:val="24"/>
        </w:rPr>
        <w:t xml:space="preserve">  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ascii="宋体" w:hAnsi="宋体" w:eastAsia="宋体" w:cs="宋体"/>
          <w:color w:val="auto"/>
          <w:kern w:val="0"/>
          <w:sz w:val="24"/>
        </w:rPr>
        <w:t xml:space="preserve"> 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023年，是全面贯彻党的二十大精神的开局之年，是城区发展史上极其重要、极不平凡的一年。全区坚持以习近平新时代中国特色社会主义思想为指导，全面贯彻党的二十大和二十届二中全会精神，坚决落实习近平总书记对山西工作的重要讲话重要指示精神，认真执行中央、省、市和区委决策部署，坚持用好“六化工作方法”，锚定城市“双核”目标定位，团结一心、埋头苦干，统筹稳增长、调结构，促转型、惠民生，防风险、保安全等各项工作，民生保障有力有效，社会大局和谐稳定，推动高质量发展迈出更坚实步伐。</w:t>
      </w:r>
    </w:p>
    <w:p w14:paraId="4B0EDB59">
      <w:pPr>
        <w:widowControl/>
        <w:spacing w:before="100" w:beforeAutospacing="1" w:after="100" w:afterAutospacing="1" w:line="600" w:lineRule="exact"/>
        <w:jc w:val="center"/>
        <w:rPr>
          <w:rFonts w:ascii="宋体" w:hAnsi="宋体" w:eastAsia="宋体" w:cs="宋体"/>
          <w:b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</w:rPr>
        <w:t>一、综    合</w:t>
      </w:r>
    </w:p>
    <w:p w14:paraId="6B3207A5">
      <w:pPr>
        <w:widowControl/>
        <w:spacing w:line="600" w:lineRule="exact"/>
        <w:ind w:left="2" w:leftChars="1" w:firstLine="480" w:firstLineChars="200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据202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年人口抽样调查，年末全区常住人口为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586025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人，比上年末增加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928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人，常住人口性别比为9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8.15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%（以女性人口=100）。全年出生人口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4227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人，出生率为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7.22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‰；死亡人口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3642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人，死亡率为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6.22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‰；自然增长率为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1.00</w:t>
      </w:r>
      <w:r>
        <w:rPr>
          <w:rFonts w:hint="eastAsia" w:ascii="宋体" w:hAnsi="宋体" w:eastAsia="宋体" w:cs="宋体"/>
          <w:color w:val="auto"/>
          <w:kern w:val="0"/>
          <w:sz w:val="24"/>
        </w:rPr>
        <w:t>‰。年末全区户籍总人口为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431519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人，比上年末增加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7078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人，其中男性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213746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人。</w:t>
      </w:r>
    </w:p>
    <w:p w14:paraId="7A88311C">
      <w:pPr>
        <w:widowControl/>
        <w:spacing w:line="600" w:lineRule="exact"/>
        <w:ind w:left="2" w:leftChars="1" w:firstLine="480" w:firstLineChars="200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初步核算，全年全区实现生产总值</w:t>
      </w:r>
      <w:r>
        <w:rPr>
          <w:rFonts w:ascii="宋体" w:hAnsi="宋体" w:eastAsia="宋体" w:cs="宋体"/>
          <w:color w:val="auto"/>
          <w:kern w:val="0"/>
          <w:sz w:val="24"/>
        </w:rPr>
        <w:t>3290683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万元，比上年增长</w:t>
      </w:r>
      <w:r>
        <w:rPr>
          <w:rFonts w:ascii="宋体" w:hAnsi="宋体" w:eastAsia="宋体" w:cs="宋体"/>
          <w:color w:val="auto"/>
          <w:kern w:val="0"/>
          <w:sz w:val="24"/>
        </w:rPr>
        <w:t>6.1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%。其中，第一产业增加值</w:t>
      </w:r>
      <w:r>
        <w:rPr>
          <w:rFonts w:ascii="宋体" w:hAnsi="宋体" w:eastAsia="宋体" w:cs="宋体"/>
          <w:color w:val="auto"/>
          <w:kern w:val="0"/>
          <w:sz w:val="24"/>
        </w:rPr>
        <w:t>8398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</w:t>
      </w:r>
      <w:r>
        <w:rPr>
          <w:rFonts w:ascii="宋体" w:hAnsi="宋体" w:eastAsia="宋体" w:cs="宋体"/>
          <w:color w:val="auto"/>
          <w:kern w:val="0"/>
          <w:sz w:val="24"/>
        </w:rPr>
        <w:t>4.1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%，占生产总值的比重为0.3%；第二产业增加值42</w:t>
      </w:r>
      <w:r>
        <w:rPr>
          <w:rFonts w:ascii="宋体" w:hAnsi="宋体" w:eastAsia="宋体" w:cs="宋体"/>
          <w:color w:val="auto"/>
          <w:kern w:val="0"/>
          <w:sz w:val="24"/>
        </w:rPr>
        <w:t>4850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万元，增长3.</w:t>
      </w:r>
      <w:r>
        <w:rPr>
          <w:rFonts w:ascii="宋体" w:hAnsi="宋体" w:eastAsia="宋体" w:cs="宋体"/>
          <w:color w:val="auto"/>
          <w:kern w:val="0"/>
          <w:sz w:val="24"/>
        </w:rPr>
        <w:t>8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%，占生产总值的比重为1</w:t>
      </w:r>
      <w:r>
        <w:rPr>
          <w:rFonts w:ascii="宋体" w:hAnsi="宋体" w:eastAsia="宋体" w:cs="宋体"/>
          <w:color w:val="auto"/>
          <w:kern w:val="0"/>
          <w:sz w:val="24"/>
        </w:rPr>
        <w:t>2.9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%；第三产业增加值</w:t>
      </w:r>
      <w:r>
        <w:rPr>
          <w:rFonts w:ascii="宋体" w:hAnsi="宋体" w:eastAsia="宋体" w:cs="宋体"/>
          <w:color w:val="auto"/>
          <w:kern w:val="0"/>
          <w:sz w:val="24"/>
        </w:rPr>
        <w:t>2857435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</w:t>
      </w:r>
      <w:r>
        <w:rPr>
          <w:rFonts w:ascii="宋体" w:hAnsi="宋体" w:eastAsia="宋体" w:cs="宋体"/>
          <w:color w:val="auto"/>
          <w:kern w:val="0"/>
          <w:sz w:val="24"/>
        </w:rPr>
        <w:t>6.5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%，占生产总值的比重为</w:t>
      </w:r>
      <w:r>
        <w:rPr>
          <w:rFonts w:ascii="宋体" w:hAnsi="宋体" w:eastAsia="宋体" w:cs="宋体"/>
          <w:color w:val="auto"/>
          <w:kern w:val="0"/>
          <w:sz w:val="24"/>
        </w:rPr>
        <w:t>86.8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</w:t>
      </w:r>
    </w:p>
    <w:p w14:paraId="1F1937E6">
      <w:pPr>
        <w:widowControl/>
        <w:spacing w:line="600" w:lineRule="exact"/>
        <w:ind w:left="2" w:leftChars="1" w:firstLine="480" w:firstLineChars="200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全年全区生产总值（含开发区）</w:t>
      </w:r>
      <w:r>
        <w:rPr>
          <w:rFonts w:ascii="宋体" w:hAnsi="宋体" w:eastAsia="宋体" w:cs="宋体"/>
          <w:color w:val="auto"/>
          <w:kern w:val="0"/>
          <w:sz w:val="24"/>
        </w:rPr>
        <w:t>4310082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万元，比上年增长</w:t>
      </w:r>
      <w:r>
        <w:rPr>
          <w:rFonts w:ascii="宋体" w:hAnsi="宋体" w:eastAsia="宋体" w:cs="宋体"/>
          <w:color w:val="auto"/>
          <w:kern w:val="0"/>
          <w:sz w:val="24"/>
        </w:rPr>
        <w:t>3.5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%。其中，第一产业增加值8</w:t>
      </w:r>
      <w:r>
        <w:rPr>
          <w:rFonts w:ascii="宋体" w:hAnsi="宋体" w:eastAsia="宋体" w:cs="宋体"/>
          <w:color w:val="auto"/>
          <w:kern w:val="0"/>
          <w:sz w:val="24"/>
        </w:rPr>
        <w:t>398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</w:t>
      </w:r>
      <w:r>
        <w:rPr>
          <w:rFonts w:ascii="宋体" w:hAnsi="宋体" w:eastAsia="宋体" w:cs="宋体"/>
          <w:color w:val="auto"/>
          <w:kern w:val="0"/>
          <w:sz w:val="24"/>
        </w:rPr>
        <w:t>4.1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%，占生产总值的比重为0.2%；第二产业增加值</w:t>
      </w:r>
      <w:r>
        <w:rPr>
          <w:rFonts w:ascii="宋体" w:hAnsi="宋体" w:eastAsia="宋体" w:cs="宋体"/>
          <w:color w:val="auto"/>
          <w:kern w:val="0"/>
          <w:sz w:val="24"/>
        </w:rPr>
        <w:t>1004982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万元，下降</w:t>
      </w:r>
      <w:r>
        <w:rPr>
          <w:rFonts w:ascii="宋体" w:hAnsi="宋体" w:eastAsia="宋体" w:cs="宋体"/>
          <w:color w:val="auto"/>
          <w:kern w:val="0"/>
          <w:sz w:val="24"/>
        </w:rPr>
        <w:t>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.0%，占生产总值的比重为2</w:t>
      </w:r>
      <w:r>
        <w:rPr>
          <w:rFonts w:ascii="宋体" w:hAnsi="宋体" w:eastAsia="宋体" w:cs="宋体"/>
          <w:color w:val="auto"/>
          <w:kern w:val="0"/>
          <w:sz w:val="24"/>
        </w:rPr>
        <w:t>3.3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%；第三产业增加值</w:t>
      </w:r>
      <w:r>
        <w:rPr>
          <w:rFonts w:ascii="宋体" w:hAnsi="宋体" w:eastAsia="宋体" w:cs="宋体"/>
          <w:color w:val="auto"/>
          <w:kern w:val="0"/>
          <w:sz w:val="24"/>
        </w:rPr>
        <w:t>329670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</w:t>
      </w:r>
      <w:r>
        <w:rPr>
          <w:rFonts w:ascii="宋体" w:hAnsi="宋体" w:eastAsia="宋体" w:cs="宋体"/>
          <w:color w:val="auto"/>
          <w:kern w:val="0"/>
          <w:sz w:val="24"/>
        </w:rPr>
        <w:t>4.9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%，占生产总值的比重为7</w:t>
      </w:r>
      <w:r>
        <w:rPr>
          <w:rFonts w:ascii="宋体" w:hAnsi="宋体" w:eastAsia="宋体" w:cs="宋体"/>
          <w:color w:val="auto"/>
          <w:kern w:val="0"/>
          <w:sz w:val="24"/>
        </w:rPr>
        <w:t>6.5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%。人均地区生产总值7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3606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元，比上年增长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3.1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</w:t>
      </w:r>
    </w:p>
    <w:p w14:paraId="73693AF0">
      <w:pPr>
        <w:widowControl/>
        <w:tabs>
          <w:tab w:val="left" w:pos="7020"/>
        </w:tabs>
        <w:spacing w:line="600" w:lineRule="exact"/>
        <w:ind w:firstLine="1687" w:firstLineChars="700"/>
        <w:rPr>
          <w:rFonts w:ascii="宋体" w:hAnsi="宋体" w:eastAsia="宋体" w:cs="宋体"/>
          <w:b/>
          <w:color w:val="auto"/>
          <w:kern w:val="0"/>
          <w:sz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</w:rPr>
        <w:t>图1  201</w:t>
      </w:r>
      <w:r>
        <w:rPr>
          <w:rFonts w:ascii="宋体" w:hAnsi="宋体" w:cs="宋体"/>
          <w:b/>
          <w:color w:val="auto"/>
          <w:kern w:val="0"/>
          <w:sz w:val="24"/>
        </w:rPr>
        <w:t>8</w:t>
      </w:r>
      <w:r>
        <w:rPr>
          <w:rFonts w:hint="eastAsia" w:ascii="宋体" w:hAnsi="宋体" w:cs="宋体"/>
          <w:b/>
          <w:color w:val="auto"/>
          <w:kern w:val="0"/>
          <w:sz w:val="24"/>
        </w:rPr>
        <w:t>-202</w:t>
      </w:r>
      <w:r>
        <w:rPr>
          <w:rFonts w:ascii="宋体" w:hAnsi="宋体" w:cs="宋体"/>
          <w:b/>
          <w:color w:val="auto"/>
          <w:kern w:val="0"/>
          <w:sz w:val="24"/>
        </w:rPr>
        <w:t>3</w:t>
      </w:r>
      <w:r>
        <w:rPr>
          <w:rFonts w:hint="eastAsia" w:ascii="宋体" w:hAnsi="宋体" w:cs="宋体"/>
          <w:b/>
          <w:color w:val="auto"/>
          <w:kern w:val="0"/>
          <w:sz w:val="24"/>
        </w:rPr>
        <w:t>年全区生产总值及增长速度</w:t>
      </w:r>
    </w:p>
    <w:p w14:paraId="26DACAAB">
      <w:pPr>
        <w:widowControl/>
        <w:wordWrap w:val="0"/>
        <w:spacing w:line="480" w:lineRule="auto"/>
        <w:jc w:val="left"/>
        <w:rPr>
          <w:rFonts w:ascii="宋体" w:hAnsi="宋体" w:eastAsia="宋体" w:cs="宋体"/>
          <w:color w:val="auto"/>
          <w:kern w:val="0"/>
          <w:sz w:val="24"/>
        </w:rPr>
      </w:pPr>
      <w:r>
        <w:rPr>
          <w:color w:val="auto"/>
        </w:rPr>
        <w:drawing>
          <wp:inline distT="0" distB="0" distL="0" distR="0">
            <wp:extent cx="5274310" cy="3028950"/>
            <wp:effectExtent l="0" t="0" r="2540" b="0"/>
            <wp:docPr id="301726418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1CAB98F">
      <w:pPr>
        <w:widowControl/>
        <w:spacing w:line="600" w:lineRule="exact"/>
        <w:ind w:firstLine="480" w:firstLineChars="200"/>
        <w:rPr>
          <w:rFonts w:ascii="宋体" w:hAnsi="宋体" w:eastAsia="宋体" w:cs="宋体"/>
          <w:b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全年全区财政总收入</w:t>
      </w:r>
      <w:r>
        <w:rPr>
          <w:rFonts w:ascii="宋体" w:hAnsi="宋体" w:eastAsia="宋体" w:cs="宋体"/>
          <w:color w:val="auto"/>
          <w:kern w:val="0"/>
          <w:sz w:val="24"/>
          <w:szCs w:val="24"/>
        </w:rPr>
        <w:t>618483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万元，比上年增收</w:t>
      </w:r>
      <w:r>
        <w:rPr>
          <w:rFonts w:ascii="宋体" w:hAnsi="宋体" w:eastAsia="宋体" w:cs="宋体"/>
          <w:color w:val="auto"/>
          <w:kern w:val="0"/>
          <w:sz w:val="24"/>
        </w:rPr>
        <w:t>397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37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</w:t>
      </w:r>
      <w:r>
        <w:rPr>
          <w:rFonts w:ascii="宋体" w:hAnsi="宋体" w:eastAsia="宋体" w:cs="宋体"/>
          <w:color w:val="auto"/>
          <w:kern w:val="0"/>
          <w:sz w:val="24"/>
        </w:rPr>
        <w:t>6.9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%。一般公共预算收入</w:t>
      </w:r>
      <w:r>
        <w:rPr>
          <w:rFonts w:ascii="宋体" w:hAnsi="宋体" w:eastAsia="宋体" w:cs="宋体"/>
          <w:color w:val="auto"/>
          <w:kern w:val="0"/>
          <w:sz w:val="24"/>
        </w:rPr>
        <w:t>169358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万元，比上年增收</w:t>
      </w:r>
      <w:r>
        <w:rPr>
          <w:rFonts w:ascii="宋体" w:hAnsi="宋体" w:eastAsia="宋体" w:cs="宋体"/>
          <w:color w:val="auto"/>
          <w:kern w:val="0"/>
          <w:sz w:val="24"/>
        </w:rPr>
        <w:t>11741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</w:t>
      </w:r>
      <w:r>
        <w:rPr>
          <w:rFonts w:ascii="宋体" w:hAnsi="宋体" w:eastAsia="宋体" w:cs="宋体"/>
          <w:color w:val="auto"/>
          <w:kern w:val="0"/>
          <w:sz w:val="24"/>
        </w:rPr>
        <w:t>7.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%。其中，税收收入90</w:t>
      </w:r>
      <w:r>
        <w:rPr>
          <w:rFonts w:ascii="宋体" w:hAnsi="宋体" w:eastAsia="宋体" w:cs="宋体"/>
          <w:color w:val="auto"/>
          <w:kern w:val="0"/>
          <w:sz w:val="24"/>
        </w:rPr>
        <w:t>076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万元，减收</w:t>
      </w:r>
      <w:r>
        <w:rPr>
          <w:rFonts w:ascii="宋体" w:hAnsi="宋体" w:eastAsia="宋体" w:cs="宋体"/>
          <w:color w:val="auto"/>
          <w:kern w:val="0"/>
          <w:sz w:val="24"/>
        </w:rPr>
        <w:t>911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万元，下降</w:t>
      </w:r>
      <w:r>
        <w:rPr>
          <w:rFonts w:ascii="宋体" w:hAnsi="宋体" w:eastAsia="宋体" w:cs="宋体"/>
          <w:color w:val="auto"/>
          <w:kern w:val="0"/>
          <w:sz w:val="24"/>
        </w:rPr>
        <w:t>1.0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%；非税收入</w:t>
      </w:r>
      <w:r>
        <w:rPr>
          <w:rFonts w:ascii="宋体" w:hAnsi="宋体" w:eastAsia="宋体" w:cs="宋体"/>
          <w:color w:val="auto"/>
          <w:kern w:val="0"/>
          <w:sz w:val="24"/>
        </w:rPr>
        <w:t>79282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万元，增收</w:t>
      </w:r>
      <w:r>
        <w:rPr>
          <w:rFonts w:ascii="宋体" w:hAnsi="宋体" w:eastAsia="宋体" w:cs="宋体"/>
          <w:color w:val="auto"/>
          <w:kern w:val="0"/>
          <w:sz w:val="24"/>
        </w:rPr>
        <w:t>12652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</w:t>
      </w:r>
      <w:r>
        <w:rPr>
          <w:rFonts w:ascii="宋体" w:hAnsi="宋体" w:eastAsia="宋体" w:cs="宋体"/>
          <w:color w:val="auto"/>
          <w:kern w:val="0"/>
          <w:sz w:val="24"/>
        </w:rPr>
        <w:t>19.0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%。全年增值税留抵退税退还</w:t>
      </w:r>
      <w:r>
        <w:rPr>
          <w:rFonts w:ascii="宋体" w:hAnsi="宋体" w:eastAsia="宋体" w:cs="宋体"/>
          <w:color w:val="auto"/>
          <w:kern w:val="0"/>
          <w:sz w:val="24"/>
        </w:rPr>
        <w:t>0.7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亿元，退税额减少5</w:t>
      </w:r>
      <w:r>
        <w:rPr>
          <w:rFonts w:ascii="宋体" w:hAnsi="宋体" w:eastAsia="宋体" w:cs="宋体"/>
          <w:color w:val="auto"/>
          <w:kern w:val="0"/>
          <w:sz w:val="24"/>
        </w:rPr>
        <w:t>.5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亿元。</w:t>
      </w:r>
    </w:p>
    <w:p w14:paraId="0154DD4F">
      <w:pPr>
        <w:widowControl/>
        <w:tabs>
          <w:tab w:val="left" w:pos="7020"/>
        </w:tabs>
        <w:spacing w:line="480" w:lineRule="auto"/>
        <w:jc w:val="center"/>
        <w:rPr>
          <w:rFonts w:ascii="宋体" w:hAnsi="宋体" w:cs="宋体"/>
          <w:b/>
          <w:color w:val="auto"/>
          <w:kern w:val="0"/>
          <w:sz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</w:rPr>
        <w:t>图2  201</w:t>
      </w:r>
      <w:r>
        <w:rPr>
          <w:rFonts w:ascii="宋体" w:hAnsi="宋体" w:cs="宋体"/>
          <w:b/>
          <w:color w:val="auto"/>
          <w:kern w:val="0"/>
          <w:sz w:val="24"/>
        </w:rPr>
        <w:t>8</w:t>
      </w:r>
      <w:r>
        <w:rPr>
          <w:rFonts w:hint="eastAsia" w:ascii="宋体" w:hAnsi="宋体" w:cs="宋体"/>
          <w:b/>
          <w:color w:val="auto"/>
          <w:kern w:val="0"/>
          <w:sz w:val="24"/>
        </w:rPr>
        <w:t>-202</w:t>
      </w:r>
      <w:r>
        <w:rPr>
          <w:rFonts w:ascii="宋体" w:hAnsi="宋体" w:cs="宋体"/>
          <w:b/>
          <w:color w:val="auto"/>
          <w:kern w:val="0"/>
          <w:sz w:val="24"/>
        </w:rPr>
        <w:t>3</w:t>
      </w:r>
      <w:r>
        <w:rPr>
          <w:rFonts w:hint="eastAsia" w:ascii="宋体" w:hAnsi="宋体" w:cs="宋体"/>
          <w:b/>
          <w:color w:val="auto"/>
          <w:kern w:val="0"/>
          <w:sz w:val="24"/>
        </w:rPr>
        <w:t>年一般公共预算收入及增长速度</w:t>
      </w:r>
    </w:p>
    <w:p w14:paraId="58EFBADA">
      <w:pPr>
        <w:widowControl/>
        <w:tabs>
          <w:tab w:val="left" w:pos="7020"/>
        </w:tabs>
        <w:spacing w:line="480" w:lineRule="auto"/>
        <w:rPr>
          <w:rFonts w:ascii="宋体" w:hAnsi="宋体" w:cs="宋体"/>
          <w:b/>
          <w:color w:val="auto"/>
          <w:kern w:val="0"/>
          <w:sz w:val="24"/>
        </w:rPr>
      </w:pPr>
      <w:r>
        <w:rPr>
          <w:color w:val="auto"/>
        </w:rPr>
        <w:drawing>
          <wp:inline distT="0" distB="0" distL="0" distR="0">
            <wp:extent cx="5274310" cy="2883535"/>
            <wp:effectExtent l="0" t="0" r="2540" b="12065"/>
            <wp:docPr id="1505341016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1CD4019">
      <w:pPr>
        <w:widowControl/>
        <w:spacing w:line="600" w:lineRule="exact"/>
        <w:ind w:left="2" w:leftChars="1" w:firstLine="480" w:firstLineChars="200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一般公共预算支出</w:t>
      </w:r>
      <w:r>
        <w:rPr>
          <w:rFonts w:ascii="宋体" w:hAnsi="宋体" w:eastAsia="宋体" w:cs="宋体"/>
          <w:color w:val="auto"/>
          <w:kern w:val="0"/>
          <w:sz w:val="24"/>
        </w:rPr>
        <w:t>325074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万元，比上年减支</w:t>
      </w:r>
      <w:r>
        <w:rPr>
          <w:rFonts w:ascii="宋体" w:hAnsi="宋体" w:eastAsia="宋体" w:cs="宋体"/>
          <w:color w:val="auto"/>
          <w:kern w:val="0"/>
          <w:sz w:val="24"/>
        </w:rPr>
        <w:t>5355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万元，下降</w:t>
      </w:r>
      <w:r>
        <w:rPr>
          <w:rFonts w:ascii="宋体" w:hAnsi="宋体" w:eastAsia="宋体" w:cs="宋体"/>
          <w:color w:val="auto"/>
          <w:kern w:val="0"/>
          <w:sz w:val="24"/>
        </w:rPr>
        <w:t>1.6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%。其中，文化旅游体育与传媒支出增长</w:t>
      </w:r>
      <w:r>
        <w:rPr>
          <w:rFonts w:ascii="宋体" w:hAnsi="宋体" w:eastAsia="宋体" w:cs="宋体"/>
          <w:color w:val="auto"/>
          <w:kern w:val="0"/>
          <w:sz w:val="24"/>
        </w:rPr>
        <w:t>17.2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%，一般公共服务支出增长</w:t>
      </w:r>
      <w:r>
        <w:rPr>
          <w:rFonts w:ascii="宋体" w:hAnsi="宋体" w:eastAsia="宋体" w:cs="宋体"/>
          <w:color w:val="auto"/>
          <w:kern w:val="0"/>
          <w:sz w:val="24"/>
        </w:rPr>
        <w:t>48.3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%，教育支出增长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5.6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%，社会保障和就业支出增长</w:t>
      </w:r>
      <w:r>
        <w:rPr>
          <w:rFonts w:ascii="宋体" w:hAnsi="宋体" w:eastAsia="宋体" w:cs="宋体"/>
          <w:color w:val="auto"/>
          <w:kern w:val="0"/>
          <w:sz w:val="24"/>
        </w:rPr>
        <w:t>17.2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%，节能环保支出增长</w:t>
      </w:r>
      <w:r>
        <w:rPr>
          <w:rFonts w:ascii="宋体" w:hAnsi="宋体" w:eastAsia="宋体" w:cs="宋体"/>
          <w:color w:val="auto"/>
          <w:kern w:val="0"/>
          <w:sz w:val="24"/>
        </w:rPr>
        <w:t>13.4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</w:t>
      </w:r>
    </w:p>
    <w:p w14:paraId="234AFA4E">
      <w:pPr>
        <w:widowControl/>
        <w:spacing w:line="600" w:lineRule="exact"/>
        <w:ind w:left="122" w:leftChars="58" w:firstLine="360" w:firstLineChars="150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全年居民消费价格比上年上涨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0</w:t>
      </w:r>
      <w:r>
        <w:rPr>
          <w:rFonts w:ascii="宋体" w:hAnsi="宋体" w:eastAsia="宋体" w:cs="宋体"/>
          <w:color w:val="auto"/>
          <w:kern w:val="0"/>
          <w:sz w:val="24"/>
        </w:rPr>
        <w:t>.2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%，其中，食品烟酒类价格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下降0</w:t>
      </w:r>
      <w:r>
        <w:rPr>
          <w:rFonts w:hint="eastAsia" w:ascii="宋体" w:hAnsi="宋体" w:eastAsia="宋体" w:cs="宋体"/>
          <w:color w:val="auto"/>
          <w:kern w:val="0"/>
          <w:sz w:val="24"/>
        </w:rPr>
        <w:t>.4%。</w:t>
      </w:r>
    </w:p>
    <w:p w14:paraId="7ACEB35D">
      <w:pPr>
        <w:widowControl/>
        <w:wordWrap w:val="0"/>
        <w:spacing w:line="480" w:lineRule="auto"/>
        <w:ind w:left="2" w:hanging="2"/>
        <w:jc w:val="center"/>
        <w:rPr>
          <w:rFonts w:ascii="宋体" w:hAnsi="宋体" w:eastAsia="宋体" w:cs="宋体"/>
          <w:b/>
          <w:color w:val="auto"/>
          <w:kern w:val="0"/>
          <w:sz w:val="24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</w:rPr>
        <w:t>表1  20</w:t>
      </w:r>
      <w:r>
        <w:rPr>
          <w:rFonts w:ascii="宋体" w:hAnsi="宋体" w:eastAsia="宋体" w:cs="宋体"/>
          <w:b/>
          <w:color w:val="auto"/>
          <w:kern w:val="0"/>
          <w:sz w:val="24"/>
        </w:rPr>
        <w:t>2</w:t>
      </w:r>
      <w:r>
        <w:rPr>
          <w:rFonts w:hint="eastAsia" w:ascii="宋体" w:hAnsi="宋体" w:eastAsia="宋体" w:cs="宋体"/>
          <w:b/>
          <w:color w:val="auto"/>
          <w:kern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color w:val="auto"/>
          <w:kern w:val="0"/>
          <w:sz w:val="24"/>
        </w:rPr>
        <w:t>年居民消费价格比上年涨跌幅度</w:t>
      </w:r>
    </w:p>
    <w:p w14:paraId="759CA0C7">
      <w:pPr>
        <w:widowControl/>
        <w:wordWrap w:val="0"/>
        <w:spacing w:line="480" w:lineRule="auto"/>
        <w:ind w:left="2" w:right="480" w:hanging="2"/>
        <w:jc w:val="right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单位：%</w:t>
      </w:r>
    </w:p>
    <w:tbl>
      <w:tblPr>
        <w:tblStyle w:val="6"/>
        <w:tblW w:w="7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3420"/>
      </w:tblGrid>
      <w:tr w14:paraId="662B8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FF"/>
          </w:tcPr>
          <w:p w14:paraId="7E2519A7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指    标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CCFFFF"/>
          </w:tcPr>
          <w:p w14:paraId="4D7B932E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涨跌幅度</w:t>
            </w:r>
          </w:p>
        </w:tc>
      </w:tr>
      <w:tr w14:paraId="315DB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3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FF"/>
          </w:tcPr>
          <w:p w14:paraId="290FEBBC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居民消费价格</w:t>
            </w:r>
          </w:p>
          <w:p w14:paraId="276A1862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  食品烟酒</w:t>
            </w:r>
          </w:p>
          <w:p w14:paraId="27D22234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  衣着</w:t>
            </w:r>
          </w:p>
          <w:p w14:paraId="10759B9F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  居住</w:t>
            </w:r>
          </w:p>
          <w:p w14:paraId="5E16E0A1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  生活用品及服务</w:t>
            </w:r>
          </w:p>
          <w:p w14:paraId="26301E50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  交通和通信</w:t>
            </w:r>
          </w:p>
          <w:p w14:paraId="5BA883F5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  教育文化和娱乐</w:t>
            </w:r>
          </w:p>
          <w:p w14:paraId="656831BA">
            <w:pPr>
              <w:widowControl/>
              <w:spacing w:line="480" w:lineRule="auto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  医疗保健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 xml:space="preserve">                                          </w:t>
            </w:r>
          </w:p>
          <w:p w14:paraId="4975A7B7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b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  其他用品和服务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7C2DB56C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0.2</w:t>
            </w:r>
          </w:p>
          <w:p w14:paraId="0DA6FC20">
            <w:pPr>
              <w:widowControl/>
              <w:spacing w:line="480" w:lineRule="auto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-0.4</w:t>
            </w:r>
          </w:p>
          <w:p w14:paraId="315F8EE0">
            <w:pPr>
              <w:widowControl/>
              <w:spacing w:line="480" w:lineRule="auto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1.6</w:t>
            </w:r>
          </w:p>
          <w:p w14:paraId="5DBD0F3A">
            <w:pPr>
              <w:widowControl/>
              <w:spacing w:line="480" w:lineRule="auto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0.4</w:t>
            </w:r>
          </w:p>
          <w:p w14:paraId="384BC5AE">
            <w:pPr>
              <w:widowControl/>
              <w:spacing w:line="480" w:lineRule="auto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-0.1</w:t>
            </w:r>
          </w:p>
          <w:p w14:paraId="57B8F496">
            <w:pPr>
              <w:widowControl/>
              <w:spacing w:line="480" w:lineRule="auto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-3.5</w:t>
            </w:r>
          </w:p>
          <w:p w14:paraId="18C880C2">
            <w:pPr>
              <w:widowControl/>
              <w:spacing w:line="480" w:lineRule="auto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2.9</w:t>
            </w:r>
          </w:p>
          <w:p w14:paraId="2ADCC3D0">
            <w:pPr>
              <w:widowControl/>
              <w:spacing w:line="480" w:lineRule="auto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1.6</w:t>
            </w:r>
          </w:p>
          <w:p w14:paraId="4BC2762C">
            <w:pPr>
              <w:widowControl/>
              <w:spacing w:line="480" w:lineRule="auto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2.0</w:t>
            </w:r>
          </w:p>
        </w:tc>
      </w:tr>
    </w:tbl>
    <w:p w14:paraId="2CB1E88D">
      <w:pPr>
        <w:widowControl/>
        <w:wordWrap w:val="0"/>
        <w:spacing w:before="100" w:beforeAutospacing="1" w:after="100" w:afterAutospacing="1" w:line="480" w:lineRule="auto"/>
        <w:jc w:val="center"/>
        <w:rPr>
          <w:rFonts w:ascii="宋体" w:hAnsi="宋体" w:eastAsia="宋体" w:cs="宋体"/>
          <w:b/>
          <w:color w:val="auto"/>
          <w:kern w:val="0"/>
          <w:sz w:val="28"/>
          <w:szCs w:val="28"/>
        </w:rPr>
      </w:pPr>
      <w:bookmarkStart w:id="0" w:name="_Hlk69912413"/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</w:rPr>
        <w:t>二、农    业</w:t>
      </w:r>
    </w:p>
    <w:bookmarkEnd w:id="0"/>
    <w:p w14:paraId="2ECC9467">
      <w:pPr>
        <w:widowControl/>
        <w:spacing w:line="600" w:lineRule="exact"/>
        <w:ind w:firstLine="480" w:firstLineChars="200"/>
        <w:rPr>
          <w:rFonts w:hint="eastAsia"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全年全区农作物总种植面积25319.7亩，比上年增加273.8亩。其中，粮食种植面积23331.9亩，增加450.1亩；蔬菜种植面积1769.8亩，减少174.7亩；油料种植面积116亩，减少14亩。在粮食种植面积中，小麦种植面积13172.8亩，减少1710.1亩；豆类种植面积2957.1亩，增加1189.2亩；玉米种植面积6592.5亩，增加1115.2亩；其它谷物种植面积292.8亩，减少112.2亩。</w:t>
      </w:r>
    </w:p>
    <w:p w14:paraId="5A6A2723">
      <w:pPr>
        <w:widowControl/>
        <w:spacing w:line="600" w:lineRule="exact"/>
        <w:ind w:firstLine="480" w:firstLineChars="200"/>
        <w:rPr>
          <w:rFonts w:hint="eastAsia"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全年粮食总产量7612吨，比上年增加160吨，增产2.1%。其中，夏粮4053.9吨，减产10.1%；秋粮3558.2吨，增产21.0%。</w:t>
      </w:r>
    </w:p>
    <w:p w14:paraId="7374B1B9">
      <w:pPr>
        <w:widowControl/>
        <w:wordWrap w:val="0"/>
        <w:spacing w:line="480" w:lineRule="auto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24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</w:rPr>
        <w:t>表2  20</w:t>
      </w:r>
      <w:r>
        <w:rPr>
          <w:rFonts w:ascii="宋体" w:hAnsi="宋体" w:eastAsia="宋体" w:cs="宋体"/>
          <w:b/>
          <w:bCs/>
          <w:color w:val="auto"/>
          <w:kern w:val="0"/>
          <w:sz w:val="24"/>
        </w:rPr>
        <w:t>2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</w:rPr>
        <w:t>年主要农产品产量及增长速度</w:t>
      </w:r>
    </w:p>
    <w:tbl>
      <w:tblPr>
        <w:tblStyle w:val="6"/>
        <w:tblW w:w="6795" w:type="dxa"/>
        <w:jc w:val="center"/>
        <w:tblBorders>
          <w:top w:val="single" w:color="auto" w:sz="4" w:space="0"/>
          <w:left w:val="none" w:color="auto" w:sz="6" w:space="0"/>
          <w:bottom w:val="single" w:color="auto" w:sz="4" w:space="0"/>
          <w:right w:val="none" w:color="auto" w:sz="6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0"/>
        <w:gridCol w:w="2342"/>
        <w:gridCol w:w="2162"/>
      </w:tblGrid>
      <w:tr w14:paraId="3EB58261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FF"/>
            <w:vAlign w:val="top"/>
          </w:tcPr>
          <w:p w14:paraId="6F027E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 w:eastAsia="zh-CN" w:bidi="ar"/>
              </w:rPr>
              <w:t>产品名称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  <w:vAlign w:val="top"/>
          </w:tcPr>
          <w:p w14:paraId="2FE22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 w:eastAsia="zh-CN" w:bidi="ar"/>
              </w:rPr>
              <w:t>产量(吨)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CCFFFF"/>
            <w:vAlign w:val="top"/>
          </w:tcPr>
          <w:p w14:paraId="7DEE6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 w:eastAsia="zh-CN" w:bidi="ar"/>
              </w:rPr>
              <w:t>比上年增长(%)</w:t>
            </w:r>
          </w:p>
        </w:tc>
      </w:tr>
      <w:tr w14:paraId="5DDC06C4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CCFFFF"/>
            <w:vAlign w:val="top"/>
          </w:tcPr>
          <w:p w14:paraId="3D25E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 w:eastAsia="zh-CN" w:bidi="ar"/>
              </w:rPr>
              <w:t>粮  食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1832A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eastAsia" w:ascii="宋体" w:hAnsi="宋体" w:eastAsia="宋体" w:cs="Times New Roman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7612.1 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9A7A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2.1</w:t>
            </w:r>
          </w:p>
        </w:tc>
      </w:tr>
      <w:tr w14:paraId="0DDDC004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top"/>
          </w:tcPr>
          <w:p w14:paraId="10264E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 w:eastAsia="zh-CN" w:bidi="ar"/>
              </w:rPr>
              <w:t xml:space="preserve">  其中:夏粮</w:t>
            </w:r>
          </w:p>
        </w:tc>
        <w:tc>
          <w:tcPr>
            <w:tcW w:w="23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7B996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4053.9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930F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-10.1</w:t>
            </w:r>
          </w:p>
        </w:tc>
      </w:tr>
      <w:tr w14:paraId="6A62C509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top"/>
          </w:tcPr>
          <w:p w14:paraId="1E89DD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 w:eastAsia="zh-CN" w:bidi="ar"/>
              </w:rPr>
              <w:t xml:space="preserve">       秋粮</w:t>
            </w:r>
          </w:p>
        </w:tc>
        <w:tc>
          <w:tcPr>
            <w:tcW w:w="23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155C10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3558.2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233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21.0</w:t>
            </w:r>
          </w:p>
        </w:tc>
      </w:tr>
      <w:tr w14:paraId="4D5706EB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top"/>
          </w:tcPr>
          <w:p w14:paraId="6566A2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 w:eastAsia="zh-CN" w:bidi="ar"/>
              </w:rPr>
              <w:t>蔬菜及食用菌</w:t>
            </w:r>
          </w:p>
        </w:tc>
        <w:tc>
          <w:tcPr>
            <w:tcW w:w="23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70C99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4751.6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B77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1.0</w:t>
            </w:r>
          </w:p>
        </w:tc>
      </w:tr>
      <w:tr w14:paraId="360E21BC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top"/>
          </w:tcPr>
          <w:p w14:paraId="3651D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 w:eastAsia="zh-CN" w:bidi="ar"/>
              </w:rPr>
              <w:t>瓜  果</w:t>
            </w:r>
          </w:p>
        </w:tc>
        <w:tc>
          <w:tcPr>
            <w:tcW w:w="23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6F23EC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46.1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D0CF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15.3</w:t>
            </w:r>
          </w:p>
        </w:tc>
      </w:tr>
      <w:tr w14:paraId="764BBBCF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FF"/>
            <w:vAlign w:val="top"/>
          </w:tcPr>
          <w:p w14:paraId="50C24C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2"/>
                <w:lang w:val="en-US" w:eastAsia="zh-CN" w:bidi="ar"/>
              </w:rPr>
              <w:t>油  料</w:t>
            </w:r>
          </w:p>
        </w:tc>
        <w:tc>
          <w:tcPr>
            <w:tcW w:w="23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FFD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8.6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780F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-53.0</w:t>
            </w:r>
          </w:p>
        </w:tc>
      </w:tr>
    </w:tbl>
    <w:p w14:paraId="0A96D95B">
      <w:pPr>
        <w:widowControl/>
        <w:spacing w:line="600" w:lineRule="exact"/>
        <w:ind w:firstLine="482"/>
        <w:rPr>
          <w:rFonts w:hint="eastAsia"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全年全区肉类总产量536.3吨，比上年增长17.4%。其中，猪肉产量119吨，下降15.1%；牛肉产量99吨，下降6.5%；羊肉产量107.1吨，增长4.3%。年末生猪存栏1415头，增长54.8%；生猪出栏1453头，下降15.1%。禽蛋产量3170.9吨，增长18.5%。</w:t>
      </w:r>
    </w:p>
    <w:p w14:paraId="66D2A473">
      <w:pPr>
        <w:widowControl/>
        <w:spacing w:line="600" w:lineRule="exact"/>
        <w:ind w:firstLine="482"/>
        <w:rPr>
          <w:rFonts w:hint="eastAsia"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年末全区农业机械总动力15593千瓦，比上年末增长2.0%。</w:t>
      </w:r>
    </w:p>
    <w:p w14:paraId="080970FA">
      <w:pPr>
        <w:widowControl/>
        <w:spacing w:before="100" w:beforeAutospacing="1" w:after="100" w:afterAutospacing="1" w:line="500" w:lineRule="exact"/>
        <w:jc w:val="center"/>
        <w:rPr>
          <w:rFonts w:ascii="宋体" w:hAnsi="宋体" w:eastAsia="宋体" w:cs="宋体"/>
          <w:b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</w:rPr>
        <w:t>三、工业和建筑业</w:t>
      </w:r>
    </w:p>
    <w:p w14:paraId="02555E46">
      <w:pPr>
        <w:widowControl/>
        <w:spacing w:line="600" w:lineRule="exact"/>
        <w:ind w:firstLine="480" w:firstLineChars="200"/>
        <w:rPr>
          <w:rFonts w:ascii="宋体" w:hAnsi="宋体" w:eastAsia="宋体" w:cs="Times New Roman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</w:rPr>
        <w:t>全年全部工业增加值1</w:t>
      </w: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  <w:lang w:val="en-US" w:eastAsia="zh-CN"/>
        </w:rPr>
        <w:t>50138</w:t>
      </w: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</w:rPr>
        <w:t>万元，比上年增长</w:t>
      </w: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  <w:lang w:val="en-US" w:eastAsia="zh-CN"/>
        </w:rPr>
        <w:t>1.5</w:t>
      </w: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</w:rPr>
        <w:t>%。年末，全区规模以上工业企业51家，规模以上工业增加值比上年增长3.9%。在规模以上工业中，分门类看，采矿业增长26.2%，制造业下降11.4%，电力、热力、燃气及水的生产和供应业下降2.9%。</w:t>
      </w:r>
    </w:p>
    <w:p w14:paraId="2AD063D1">
      <w:pPr>
        <w:widowControl/>
        <w:spacing w:line="600" w:lineRule="exact"/>
        <w:ind w:firstLine="480" w:firstLineChars="200"/>
        <w:rPr>
          <w:rFonts w:ascii="宋体" w:hAnsi="宋体" w:eastAsia="宋体" w:cs="Times New Roman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</w:rPr>
        <w:t>全年规模以上工业中，煤炭开采和洗选业比上年增长</w:t>
      </w: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  <w:lang w:val="en-US" w:eastAsia="zh-CN"/>
        </w:rPr>
        <w:t>26.5</w:t>
      </w: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</w:rPr>
        <w:t>%，非金属矿采选业下降2</w:t>
      </w:r>
      <w:r>
        <w:rPr>
          <w:rFonts w:ascii="宋体" w:hAnsi="宋体" w:eastAsia="宋体" w:cs="Times New Roman"/>
          <w:color w:val="auto"/>
          <w:kern w:val="0"/>
          <w:sz w:val="24"/>
          <w:szCs w:val="24"/>
        </w:rPr>
        <w:t>.0</w:t>
      </w: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</w:rPr>
        <w:t>%，纺织服装、服饰业下降7.9%，印刷和记录媒介复制业增长6.2%，橡胶和塑料制品业增长25.7%，非金属矿物制品业增长2.1%，黑色金属冶炼和压延加工业增长46.9%，金属制品业下降18</w:t>
      </w: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  <w:lang w:val="en-US" w:eastAsia="zh-CN"/>
        </w:rPr>
        <w:t>.0</w:t>
      </w: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</w:rPr>
        <w:t>%，汽车制造业下降4.4%，专用设备制造业下降</w:t>
      </w: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</w:rPr>
        <w:t>4.6%，通用设备制造业下降19.3%，仪器仪表制造业下降26</w:t>
      </w:r>
      <w:r>
        <w:rPr>
          <w:rFonts w:ascii="宋体" w:hAnsi="宋体" w:eastAsia="宋体" w:cs="Times New Roman"/>
          <w:color w:val="auto"/>
          <w:kern w:val="0"/>
          <w:sz w:val="24"/>
          <w:szCs w:val="24"/>
        </w:rPr>
        <w:t>.0</w:t>
      </w: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</w:rPr>
        <w:t>%，电力、热力生产和供应业</w:t>
      </w: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  <w:lang w:val="en-US" w:eastAsia="zh-CN"/>
        </w:rPr>
        <w:t>下降5.8</w:t>
      </w: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</w:rPr>
        <w:t>%，燃气生产和供应业下降4.9%，水的生产和供应业下降0.2%。</w:t>
      </w:r>
    </w:p>
    <w:p w14:paraId="1AD1F768">
      <w:pPr>
        <w:widowControl/>
        <w:wordWrap w:val="0"/>
        <w:spacing w:line="500" w:lineRule="exact"/>
        <w:jc w:val="center"/>
        <w:rPr>
          <w:rFonts w:ascii="宋体" w:hAnsi="宋体" w:eastAsia="宋体" w:cs="宋体"/>
          <w:b/>
          <w:color w:val="auto"/>
          <w:kern w:val="0"/>
          <w:sz w:val="24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</w:rPr>
        <w:t>图3  201</w:t>
      </w:r>
      <w:r>
        <w:rPr>
          <w:rFonts w:ascii="宋体" w:hAnsi="宋体" w:eastAsia="宋体" w:cs="宋体"/>
          <w:b/>
          <w:color w:val="auto"/>
          <w:kern w:val="0"/>
          <w:sz w:val="24"/>
        </w:rPr>
        <w:t>8</w:t>
      </w:r>
      <w:r>
        <w:rPr>
          <w:rFonts w:hint="eastAsia" w:ascii="宋体" w:hAnsi="宋体" w:eastAsia="宋体" w:cs="宋体"/>
          <w:b/>
          <w:color w:val="auto"/>
          <w:kern w:val="0"/>
          <w:sz w:val="24"/>
        </w:rPr>
        <w:t>-202</w:t>
      </w:r>
      <w:r>
        <w:rPr>
          <w:rFonts w:ascii="宋体" w:hAnsi="宋体" w:eastAsia="宋体" w:cs="宋体"/>
          <w:b/>
          <w:color w:val="auto"/>
          <w:kern w:val="0"/>
          <w:sz w:val="24"/>
        </w:rPr>
        <w:t>3</w:t>
      </w:r>
      <w:r>
        <w:rPr>
          <w:rFonts w:hint="eastAsia" w:ascii="宋体" w:hAnsi="宋体" w:eastAsia="宋体" w:cs="宋体"/>
          <w:b/>
          <w:color w:val="auto"/>
          <w:kern w:val="0"/>
          <w:sz w:val="24"/>
        </w:rPr>
        <w:t>年规模以上工业增加值增长速度</w:t>
      </w:r>
    </w:p>
    <w:p w14:paraId="7B934923">
      <w:pPr>
        <w:widowControl/>
        <w:wordWrap w:val="0"/>
        <w:jc w:val="left"/>
        <w:rPr>
          <w:rFonts w:ascii="宋体" w:hAnsi="宋体" w:eastAsia="宋体" w:cs="宋体"/>
          <w:b/>
          <w:color w:val="auto"/>
          <w:kern w:val="0"/>
          <w:sz w:val="24"/>
        </w:rPr>
      </w:pPr>
    </w:p>
    <w:p w14:paraId="38699D30">
      <w:pPr>
        <w:widowControl/>
        <w:wordWrap w:val="0"/>
        <w:spacing w:line="480" w:lineRule="auto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1770" cy="2871470"/>
            <wp:effectExtent l="5080" t="4445" r="19050" b="19685"/>
            <wp:docPr id="6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0B887DF">
      <w:pPr>
        <w:widowControl/>
        <w:wordWrap w:val="0"/>
        <w:spacing w:line="480" w:lineRule="auto"/>
        <w:ind w:firstLine="480" w:firstLineChars="200"/>
        <w:jc w:val="both"/>
        <w:rPr>
          <w:rFonts w:hint="default" w:ascii="宋体" w:hAnsi="宋体" w:eastAsia="宋体" w:cs="Times New Roman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  <w:lang w:val="en-US" w:eastAsia="zh-CN"/>
        </w:rPr>
        <w:t xml:space="preserve">全年规模以上工业完成总产值556356万元，下降12.3%；完成销售产值568912万元，下降7.8%。 </w:t>
      </w:r>
    </w:p>
    <w:p w14:paraId="740A0ED9">
      <w:pPr>
        <w:widowControl/>
        <w:wordWrap w:val="0"/>
        <w:spacing w:line="480" w:lineRule="auto"/>
        <w:jc w:val="center"/>
        <w:rPr>
          <w:rFonts w:ascii="宋体" w:hAnsi="宋体" w:eastAsia="宋体" w:cs="宋体"/>
          <w:b/>
          <w:color w:val="auto"/>
          <w:kern w:val="0"/>
          <w:sz w:val="24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</w:rPr>
        <w:t>表3  202</w:t>
      </w:r>
      <w:r>
        <w:rPr>
          <w:rFonts w:ascii="宋体" w:hAnsi="宋体" w:eastAsia="宋体" w:cs="宋体"/>
          <w:b/>
          <w:color w:val="auto"/>
          <w:kern w:val="0"/>
          <w:sz w:val="24"/>
        </w:rPr>
        <w:t>3</w:t>
      </w:r>
      <w:r>
        <w:rPr>
          <w:rFonts w:hint="eastAsia" w:ascii="宋体" w:hAnsi="宋体" w:eastAsia="宋体" w:cs="宋体"/>
          <w:b/>
          <w:color w:val="auto"/>
          <w:kern w:val="0"/>
          <w:sz w:val="24"/>
        </w:rPr>
        <w:t>年规模以上工业主要产品产量及增长速度</w:t>
      </w:r>
    </w:p>
    <w:tbl>
      <w:tblPr>
        <w:tblStyle w:val="6"/>
        <w:tblW w:w="738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2"/>
        <w:gridCol w:w="1361"/>
        <w:gridCol w:w="1842"/>
        <w:gridCol w:w="1701"/>
      </w:tblGrid>
      <w:tr w14:paraId="2C707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24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CCFFFF"/>
            <w:vAlign w:val="center"/>
          </w:tcPr>
          <w:p w14:paraId="2FFB484F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产 品 名 称</w:t>
            </w:r>
          </w:p>
        </w:tc>
        <w:tc>
          <w:tcPr>
            <w:tcW w:w="136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CCFFFF"/>
            <w:vAlign w:val="center"/>
          </w:tcPr>
          <w:p w14:paraId="049A647E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单位</w:t>
            </w:r>
          </w:p>
        </w:tc>
        <w:tc>
          <w:tcPr>
            <w:tcW w:w="18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CCFFFF"/>
            <w:vAlign w:val="center"/>
          </w:tcPr>
          <w:p w14:paraId="33EFA1B9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产量</w:t>
            </w:r>
          </w:p>
        </w:tc>
        <w:tc>
          <w:tcPr>
            <w:tcW w:w="170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000000" w:fill="CCFFFF"/>
            <w:vAlign w:val="center"/>
          </w:tcPr>
          <w:p w14:paraId="24DE0C43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比上年增长%</w:t>
            </w:r>
          </w:p>
        </w:tc>
      </w:tr>
      <w:tr w14:paraId="59576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482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CCFFFF"/>
          </w:tcPr>
          <w:p w14:paraId="4B7A1A1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原煤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</w:tcPr>
          <w:p w14:paraId="68EE40B5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吨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</w:tcPr>
          <w:p w14:paraId="3DA7576A">
            <w:pPr>
              <w:widowControl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1820140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82BA7E">
            <w:pPr>
              <w:widowControl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36.9</w:t>
            </w:r>
          </w:p>
        </w:tc>
      </w:tr>
      <w:tr w14:paraId="77A44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482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CCFFFF"/>
          </w:tcPr>
          <w:p w14:paraId="69889B2A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水泥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</w:tcPr>
          <w:p w14:paraId="56CAADDF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吨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</w:tcPr>
          <w:p w14:paraId="50C86CF2">
            <w:pPr>
              <w:widowControl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85313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8C81FC">
            <w:pPr>
              <w:widowControl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39.4</w:t>
            </w:r>
          </w:p>
        </w:tc>
      </w:tr>
      <w:tr w14:paraId="5FE1A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482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CCFFFF"/>
          </w:tcPr>
          <w:p w14:paraId="1E9F45E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商品混凝土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</w:tcPr>
          <w:p w14:paraId="3C11FC1B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立方米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</w:tcPr>
          <w:p w14:paraId="6C201D71">
            <w:pPr>
              <w:widowControl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729742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C32EC3">
            <w:pPr>
              <w:widowControl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-2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9.5</w:t>
            </w:r>
          </w:p>
        </w:tc>
      </w:tr>
      <w:tr w14:paraId="7273F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482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CCFFFF"/>
          </w:tcPr>
          <w:p w14:paraId="7374FF6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生铁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</w:tcPr>
          <w:p w14:paraId="5A33B844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吨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</w:tcPr>
          <w:p w14:paraId="12D1D812">
            <w:pPr>
              <w:widowControl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91075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2F4E9B">
            <w:pPr>
              <w:widowControl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27.3</w:t>
            </w:r>
          </w:p>
        </w:tc>
      </w:tr>
      <w:tr w14:paraId="3C68D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482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CCFFFF"/>
          </w:tcPr>
          <w:p w14:paraId="5B331906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铸铁件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</w:tcPr>
          <w:p w14:paraId="61B2B225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吨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</w:tcPr>
          <w:p w14:paraId="221BE44B">
            <w:pPr>
              <w:widowControl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203118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9FAF47">
            <w:pPr>
              <w:widowControl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-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.2</w:t>
            </w:r>
          </w:p>
        </w:tc>
      </w:tr>
      <w:tr w14:paraId="3C768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482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CCFFFF"/>
          </w:tcPr>
          <w:p w14:paraId="4DFE51CA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铸铁管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</w:tcPr>
          <w:p w14:paraId="39812D39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吨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</w:tcPr>
          <w:p w14:paraId="77870B89">
            <w:pPr>
              <w:widowControl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412881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D627AA">
            <w:pPr>
              <w:widowControl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-9.1</w:t>
            </w:r>
          </w:p>
        </w:tc>
      </w:tr>
      <w:tr w14:paraId="0B71D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4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CCFFFF"/>
          </w:tcPr>
          <w:p w14:paraId="3DD1A97E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自来水生产量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2D9347E5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万立方米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47CBEC32">
            <w:pPr>
              <w:widowControl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53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</w:tcPr>
          <w:p w14:paraId="73616B3B">
            <w:pPr>
              <w:widowControl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0.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  <w:t>4</w:t>
            </w:r>
          </w:p>
        </w:tc>
      </w:tr>
    </w:tbl>
    <w:p w14:paraId="6C29CC2E">
      <w:pPr>
        <w:widowControl/>
        <w:spacing w:line="600" w:lineRule="exact"/>
        <w:ind w:firstLine="480" w:firstLineChars="200"/>
        <w:rPr>
          <w:rFonts w:ascii="宋体" w:hAnsi="宋体" w:eastAsia="宋体" w:cs="Times New Roman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color w:val="auto"/>
          <w:kern w:val="0"/>
          <w:sz w:val="24"/>
          <w:szCs w:val="24"/>
        </w:rPr>
        <w:t>规模以上工业全年实现营业收入592273.4万元，比上年下降4.2%。分门类看，采矿业68329.9万元，下降11.9%；制造业418143.3万元，下降3.9%；电力、热力、燃气及水的生产和供应业105800万元，增长0.2%。实现利润总额-42591.8万元，去年同期实现-37918.8万元。</w:t>
      </w:r>
    </w:p>
    <w:p w14:paraId="374928FB">
      <w:pPr>
        <w:widowControl/>
        <w:spacing w:line="600" w:lineRule="exact"/>
        <w:ind w:firstLine="480" w:firstLineChars="200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全年规模以上工业企业综合能源消费量26.5万吨标准煤，增长18.8%，单位工业增加值能耗增长14.3%；规上工业企业工业用电量60933.2万千瓦时，增长0.4%。</w:t>
      </w:r>
    </w:p>
    <w:p w14:paraId="26FF8B01">
      <w:pPr>
        <w:widowControl/>
        <w:spacing w:line="600" w:lineRule="exact"/>
        <w:ind w:firstLine="480" w:firstLineChars="200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二轻集体企业全年实现利税总额25</w:t>
      </w:r>
      <w:r>
        <w:rPr>
          <w:rFonts w:ascii="宋体" w:hAnsi="宋体" w:eastAsia="宋体" w:cs="宋体"/>
          <w:color w:val="auto"/>
          <w:kern w:val="0"/>
          <w:sz w:val="24"/>
        </w:rPr>
        <w:t>95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</w:t>
      </w:r>
      <w:r>
        <w:rPr>
          <w:rFonts w:ascii="宋体" w:hAnsi="宋体" w:eastAsia="宋体" w:cs="宋体"/>
          <w:color w:val="auto"/>
          <w:kern w:val="0"/>
          <w:sz w:val="24"/>
        </w:rPr>
        <w:t>1.1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</w:t>
      </w:r>
    </w:p>
    <w:p w14:paraId="5E52D875">
      <w:pPr>
        <w:widowControl/>
        <w:spacing w:line="600" w:lineRule="exact"/>
        <w:ind w:firstLine="480" w:firstLineChars="200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全年建筑业增加值274712万元，比上年增长5.2%。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年末全区具有资质等级的总承包和专业承包建筑业企业93家；签订合同额1314664万元，下降19%；完成总产值472746万元，增长4.2%。房屋建筑施工面积3739006平方米，下降2%；竣工产值3040636万元，下降1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.0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</w:t>
      </w:r>
    </w:p>
    <w:p w14:paraId="661BCF82">
      <w:pPr>
        <w:widowControl/>
        <w:spacing w:before="312" w:beforeLines="100" w:line="480" w:lineRule="auto"/>
        <w:jc w:val="center"/>
        <w:rPr>
          <w:rFonts w:ascii="宋体" w:hAnsi="宋体" w:eastAsia="宋体" w:cs="宋体"/>
          <w:b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</w:rPr>
        <w:t>四、民营经济</w:t>
      </w:r>
    </w:p>
    <w:p w14:paraId="5EC1E92C">
      <w:pPr>
        <w:widowControl/>
        <w:spacing w:line="600" w:lineRule="exact"/>
        <w:ind w:firstLine="480" w:firstLineChars="200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全年全区民营经济完成总产值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828591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万元，比上年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增长5.9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%；增加值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931734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增长5.1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%；营业收入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2589725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增长3.4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%；利税总额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203316万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元，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增长10.1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</w:t>
      </w:r>
    </w:p>
    <w:p w14:paraId="6490BB39">
      <w:pPr>
        <w:widowControl/>
        <w:spacing w:line="600" w:lineRule="exact"/>
        <w:ind w:firstLine="480" w:firstLineChars="200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其中：民营企业完成总产值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793541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万元，比上年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增长6.9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%；增加值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772224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增长5.9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%；营业收入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2123186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增长2.1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%；利税总额14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9665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增长2.4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</w:t>
      </w:r>
    </w:p>
    <w:p w14:paraId="62013E9E">
      <w:pPr>
        <w:widowControl/>
        <w:wordWrap w:val="0"/>
        <w:spacing w:before="100" w:beforeAutospacing="1" w:after="100" w:afterAutospacing="1" w:line="480" w:lineRule="auto"/>
        <w:jc w:val="center"/>
        <w:rPr>
          <w:rFonts w:ascii="宋体" w:hAnsi="宋体" w:eastAsia="宋体" w:cs="宋体"/>
          <w:b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</w:rPr>
        <w:t>五、国内贸易</w:t>
      </w:r>
    </w:p>
    <w:p w14:paraId="2FE09E9F">
      <w:pPr>
        <w:widowControl/>
        <w:spacing w:line="600" w:lineRule="exact"/>
        <w:ind w:firstLine="480" w:firstLineChars="200"/>
        <w:rPr>
          <w:rFonts w:hint="eastAsia" w:ascii="宋体" w:hAnsi="宋体" w:eastAsia="宋体" w:cs="宋体"/>
          <w:color w:val="auto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全年全区社会消费品零售总额</w:t>
      </w:r>
      <w:r>
        <w:rPr>
          <w:rFonts w:ascii="宋体" w:hAnsi="宋体" w:eastAsia="宋体" w:cs="宋体"/>
          <w:color w:val="auto"/>
          <w:kern w:val="0"/>
          <w:sz w:val="24"/>
        </w:rPr>
        <w:t>3090971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万元，比上年增长</w:t>
      </w:r>
      <w:r>
        <w:rPr>
          <w:rFonts w:ascii="宋体" w:hAnsi="宋体" w:eastAsia="宋体" w:cs="宋体"/>
          <w:color w:val="auto"/>
          <w:kern w:val="0"/>
          <w:sz w:val="24"/>
        </w:rPr>
        <w:t>8.4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%。其中限额以上贸易企业（含个体户）</w:t>
      </w:r>
      <w:r>
        <w:rPr>
          <w:rFonts w:ascii="宋体" w:hAnsi="宋体" w:eastAsia="宋体" w:cs="宋体"/>
          <w:color w:val="auto"/>
          <w:kern w:val="0"/>
          <w:sz w:val="24"/>
        </w:rPr>
        <w:t>349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家，实现社会消费品零售总额</w:t>
      </w:r>
      <w:r>
        <w:rPr>
          <w:rFonts w:ascii="宋体" w:hAnsi="宋体" w:eastAsia="宋体" w:cs="宋体"/>
          <w:color w:val="auto"/>
          <w:kern w:val="0"/>
          <w:sz w:val="24"/>
        </w:rPr>
        <w:t>1040468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万元，比上年增长</w:t>
      </w:r>
      <w:r>
        <w:rPr>
          <w:rFonts w:ascii="宋体" w:hAnsi="宋体" w:eastAsia="宋体" w:cs="宋体"/>
          <w:color w:val="auto"/>
          <w:kern w:val="0"/>
          <w:sz w:val="24"/>
        </w:rPr>
        <w:t>11.0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%。限上零售额按消费类型分，商品零售</w:t>
      </w:r>
      <w:r>
        <w:rPr>
          <w:rFonts w:ascii="宋体" w:hAnsi="宋体" w:eastAsia="宋体" w:cs="宋体"/>
          <w:color w:val="auto"/>
          <w:kern w:val="0"/>
          <w:sz w:val="24"/>
        </w:rPr>
        <w:t>965471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</w:t>
      </w:r>
      <w:r>
        <w:rPr>
          <w:rFonts w:ascii="宋体" w:hAnsi="宋体" w:eastAsia="宋体" w:cs="宋体"/>
          <w:color w:val="auto"/>
          <w:kern w:val="0"/>
          <w:sz w:val="24"/>
        </w:rPr>
        <w:t>10.3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</w:t>
      </w:r>
      <w:r>
        <w:rPr>
          <w:rFonts w:hint="eastAsia" w:ascii="宋体" w:hAnsi="宋体" w:eastAsia="宋体" w:cs="宋体"/>
          <w:color w:val="auto"/>
          <w:kern w:val="0"/>
          <w:sz w:val="24"/>
          <w:lang w:eastAsia="zh-CN"/>
        </w:rPr>
        <w:t>；</w:t>
      </w:r>
      <w:r>
        <w:rPr>
          <w:rFonts w:hint="eastAsia" w:ascii="宋体" w:hAnsi="宋体" w:eastAsia="宋体" w:cs="宋体"/>
          <w:color w:val="auto"/>
          <w:kern w:val="0"/>
          <w:sz w:val="24"/>
        </w:rPr>
        <w:t>餐饮收入</w:t>
      </w:r>
      <w:r>
        <w:rPr>
          <w:rFonts w:ascii="宋体" w:hAnsi="宋体" w:eastAsia="宋体" w:cs="宋体"/>
          <w:color w:val="auto"/>
          <w:kern w:val="0"/>
          <w:sz w:val="24"/>
        </w:rPr>
        <w:t>74997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万元，增长2</w:t>
      </w:r>
      <w:r>
        <w:rPr>
          <w:rFonts w:ascii="宋体" w:hAnsi="宋体" w:eastAsia="宋体" w:cs="宋体"/>
          <w:color w:val="auto"/>
          <w:kern w:val="0"/>
          <w:sz w:val="24"/>
        </w:rPr>
        <w:t>0.3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</w:t>
      </w:r>
      <w:r>
        <w:rPr>
          <w:rFonts w:hint="eastAsia" w:ascii="宋体" w:hAnsi="宋体" w:eastAsia="宋体" w:cs="宋体"/>
          <w:color w:val="auto"/>
          <w:kern w:val="0"/>
          <w:sz w:val="24"/>
          <w:lang w:eastAsia="zh-CN"/>
        </w:rPr>
        <w:t>。</w:t>
      </w:r>
    </w:p>
    <w:p w14:paraId="2E89720E">
      <w:pPr>
        <w:widowControl/>
        <w:tabs>
          <w:tab w:val="left" w:pos="7020"/>
        </w:tabs>
        <w:spacing w:line="480" w:lineRule="auto"/>
        <w:jc w:val="center"/>
        <w:rPr>
          <w:rFonts w:ascii="宋体" w:hAnsi="宋体" w:cs="宋体"/>
          <w:b/>
          <w:color w:val="auto"/>
          <w:kern w:val="0"/>
          <w:sz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</w:rPr>
        <w:t>图4  201</w:t>
      </w:r>
      <w:r>
        <w:rPr>
          <w:rFonts w:ascii="宋体" w:hAnsi="宋体" w:cs="宋体"/>
          <w:b/>
          <w:color w:val="auto"/>
          <w:kern w:val="0"/>
          <w:sz w:val="24"/>
        </w:rPr>
        <w:t>8</w:t>
      </w:r>
      <w:r>
        <w:rPr>
          <w:rFonts w:hint="eastAsia" w:ascii="宋体" w:hAnsi="宋体" w:cs="宋体"/>
          <w:b/>
          <w:color w:val="auto"/>
          <w:kern w:val="0"/>
          <w:sz w:val="24"/>
        </w:rPr>
        <w:t>-202</w:t>
      </w:r>
      <w:r>
        <w:rPr>
          <w:rFonts w:ascii="宋体" w:hAnsi="宋体" w:cs="宋体"/>
          <w:b/>
          <w:color w:val="auto"/>
          <w:kern w:val="0"/>
          <w:sz w:val="24"/>
        </w:rPr>
        <w:t>3</w:t>
      </w:r>
      <w:r>
        <w:rPr>
          <w:rFonts w:hint="eastAsia" w:ascii="宋体" w:hAnsi="宋体" w:cs="宋体"/>
          <w:b/>
          <w:color w:val="auto"/>
          <w:kern w:val="0"/>
          <w:sz w:val="24"/>
        </w:rPr>
        <w:t>年社会消费品零售总额及增长速度</w:t>
      </w:r>
    </w:p>
    <w:p w14:paraId="5C6A9AD7">
      <w:pPr>
        <w:widowControl/>
        <w:tabs>
          <w:tab w:val="left" w:pos="7020"/>
        </w:tabs>
        <w:spacing w:line="480" w:lineRule="auto"/>
        <w:rPr>
          <w:rFonts w:ascii="宋体" w:hAnsi="宋体" w:eastAsia="宋体" w:cs="宋体"/>
          <w:b/>
          <w:color w:val="auto"/>
          <w:kern w:val="0"/>
          <w:sz w:val="24"/>
        </w:rPr>
      </w:pPr>
      <w:r>
        <w:rPr>
          <w:color w:val="auto"/>
        </w:rPr>
        <w:drawing>
          <wp:inline distT="0" distB="0" distL="0" distR="0">
            <wp:extent cx="5274310" cy="3437890"/>
            <wp:effectExtent l="0" t="0" r="2540" b="10160"/>
            <wp:docPr id="435544315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FEFBF4F">
      <w:pPr>
        <w:widowControl/>
        <w:wordWrap w:val="0"/>
        <w:spacing w:line="480" w:lineRule="auto"/>
        <w:jc w:val="center"/>
        <w:rPr>
          <w:rFonts w:ascii="宋体" w:hAnsi="宋体" w:eastAsia="宋体" w:cs="宋体"/>
          <w:b/>
          <w:color w:val="auto"/>
          <w:kern w:val="0"/>
          <w:sz w:val="24"/>
        </w:rPr>
      </w:pPr>
    </w:p>
    <w:p w14:paraId="4BB66B4D">
      <w:pPr>
        <w:widowControl/>
        <w:wordWrap w:val="0"/>
        <w:spacing w:line="480" w:lineRule="auto"/>
        <w:jc w:val="center"/>
        <w:rPr>
          <w:rFonts w:ascii="宋体" w:hAnsi="宋体" w:eastAsia="宋体" w:cs="宋体"/>
          <w:b/>
          <w:color w:val="auto"/>
          <w:kern w:val="0"/>
          <w:sz w:val="24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</w:rPr>
        <w:t>表4  202</w:t>
      </w:r>
      <w:r>
        <w:rPr>
          <w:rFonts w:ascii="宋体" w:hAnsi="宋体" w:eastAsia="宋体" w:cs="宋体"/>
          <w:b/>
          <w:color w:val="auto"/>
          <w:kern w:val="0"/>
          <w:sz w:val="24"/>
        </w:rPr>
        <w:t>3</w:t>
      </w:r>
      <w:r>
        <w:rPr>
          <w:rFonts w:hint="eastAsia" w:ascii="宋体" w:hAnsi="宋体" w:eastAsia="宋体" w:cs="宋体"/>
          <w:b/>
          <w:color w:val="auto"/>
          <w:kern w:val="0"/>
          <w:sz w:val="24"/>
        </w:rPr>
        <w:t>年城区社会消费品零售总额及增长速度</w:t>
      </w:r>
    </w:p>
    <w:tbl>
      <w:tblPr>
        <w:tblStyle w:val="6"/>
        <w:tblW w:w="67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8"/>
        <w:gridCol w:w="1913"/>
        <w:gridCol w:w="1867"/>
      </w:tblGrid>
      <w:tr w14:paraId="06F14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FF"/>
          </w:tcPr>
          <w:p w14:paraId="7BF6DCBB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指    标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</w:tcPr>
          <w:p w14:paraId="1A660F5D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绝对数（万元）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CCFFFF"/>
          </w:tcPr>
          <w:p w14:paraId="5BDB7D6A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比上年增长%</w:t>
            </w:r>
          </w:p>
        </w:tc>
      </w:tr>
      <w:tr w14:paraId="54AE9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5" w:hRule="atLeast"/>
          <w:jc w:val="center"/>
        </w:trPr>
        <w:tc>
          <w:tcPr>
            <w:tcW w:w="2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FF"/>
          </w:tcPr>
          <w:p w14:paraId="6F557594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社会消费品零售总额</w:t>
            </w:r>
          </w:p>
          <w:p w14:paraId="7E1B7A2A">
            <w:pPr>
              <w:widowControl/>
              <w:spacing w:line="480" w:lineRule="auto"/>
              <w:ind w:firstLine="360" w:firstLineChars="150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#限额以上</w:t>
            </w:r>
          </w:p>
          <w:p w14:paraId="5249559B">
            <w:pPr>
              <w:widowControl/>
              <w:spacing w:line="480" w:lineRule="auto"/>
              <w:ind w:firstLine="720" w:firstLineChars="300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按消费形态分</w:t>
            </w:r>
          </w:p>
          <w:p w14:paraId="63653A0A">
            <w:pPr>
              <w:widowControl/>
              <w:spacing w:line="480" w:lineRule="auto"/>
              <w:ind w:firstLine="720" w:firstLineChars="300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1、餐饮收入</w:t>
            </w:r>
          </w:p>
          <w:p w14:paraId="727946ED">
            <w:pPr>
              <w:widowControl/>
              <w:spacing w:line="480" w:lineRule="auto"/>
              <w:ind w:firstLine="720" w:firstLineChars="300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、商品零售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D79D76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3090971</w:t>
            </w:r>
          </w:p>
          <w:p w14:paraId="7A02986E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1040468</w:t>
            </w:r>
          </w:p>
          <w:p w14:paraId="4B501EA3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</w:p>
          <w:p w14:paraId="47DD103B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74997</w:t>
            </w:r>
          </w:p>
          <w:p w14:paraId="5D767689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965471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40C47241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8.4</w:t>
            </w:r>
          </w:p>
          <w:p w14:paraId="2A153D2E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11.0</w:t>
            </w:r>
          </w:p>
          <w:p w14:paraId="59DFA68F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</w:p>
          <w:p w14:paraId="7BE7EAA3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20.3</w:t>
            </w:r>
          </w:p>
          <w:p w14:paraId="54511A37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10.3</w:t>
            </w:r>
          </w:p>
        </w:tc>
      </w:tr>
    </w:tbl>
    <w:p w14:paraId="69BBF42C">
      <w:pPr>
        <w:widowControl/>
        <w:wordWrap w:val="0"/>
        <w:spacing w:before="156" w:beforeLines="50" w:line="480" w:lineRule="auto"/>
        <w:jc w:val="center"/>
        <w:rPr>
          <w:rFonts w:ascii="宋体" w:hAnsi="宋体" w:eastAsia="宋体" w:cs="宋体"/>
          <w:b/>
          <w:color w:val="auto"/>
          <w:kern w:val="0"/>
          <w:sz w:val="24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</w:rPr>
        <w:t>表5  202</w:t>
      </w:r>
      <w:r>
        <w:rPr>
          <w:rFonts w:ascii="宋体" w:hAnsi="宋体" w:eastAsia="宋体" w:cs="宋体"/>
          <w:b/>
          <w:color w:val="auto"/>
          <w:kern w:val="0"/>
          <w:sz w:val="24"/>
        </w:rPr>
        <w:t>3</w:t>
      </w:r>
      <w:r>
        <w:rPr>
          <w:rFonts w:hint="eastAsia" w:ascii="宋体" w:hAnsi="宋体" w:eastAsia="宋体" w:cs="宋体"/>
          <w:b/>
          <w:color w:val="auto"/>
          <w:kern w:val="0"/>
          <w:sz w:val="24"/>
        </w:rPr>
        <w:t>年限额以上批发零售业零售额及增长速度</w:t>
      </w:r>
    </w:p>
    <w:tbl>
      <w:tblPr>
        <w:tblStyle w:val="6"/>
        <w:tblW w:w="6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8"/>
        <w:gridCol w:w="1685"/>
        <w:gridCol w:w="1621"/>
      </w:tblGrid>
      <w:tr w14:paraId="4BE44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3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FF"/>
          </w:tcPr>
          <w:p w14:paraId="6F9E6FE3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指    标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</w:tcPr>
          <w:p w14:paraId="65B20A48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绝对数（万元）</w:t>
            </w: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CCFFFF"/>
          </w:tcPr>
          <w:p w14:paraId="4A071A5B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比上年增长%</w:t>
            </w:r>
          </w:p>
        </w:tc>
      </w:tr>
      <w:tr w14:paraId="0FA58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3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CCFFFF"/>
          </w:tcPr>
          <w:p w14:paraId="615335A0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合计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75B3957B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893018 </w:t>
            </w: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50047F94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16.0</w:t>
            </w:r>
          </w:p>
        </w:tc>
      </w:tr>
      <w:tr w14:paraId="66AA8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</w:tcPr>
          <w:p w14:paraId="1198CDF0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#通过公共网络实现的商品零售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</w:tcPr>
          <w:p w14:paraId="2C55B583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17706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 w:themeFill="background1"/>
          </w:tcPr>
          <w:p w14:paraId="7E9FCC50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42.7</w:t>
            </w:r>
          </w:p>
        </w:tc>
      </w:tr>
      <w:tr w14:paraId="77873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26B52920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粮油、食品类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3F7A5809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104816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59AC334B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6.4</w:t>
            </w:r>
          </w:p>
        </w:tc>
      </w:tr>
      <w:tr w14:paraId="7E6BE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116C6536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饮料类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472A4101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8620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2733E400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-4.9</w:t>
            </w:r>
          </w:p>
        </w:tc>
      </w:tr>
      <w:tr w14:paraId="6E4AA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507C7D8C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烟酒类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3F262A50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76595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00E4EA2E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47.9</w:t>
            </w:r>
          </w:p>
        </w:tc>
      </w:tr>
      <w:tr w14:paraId="286A3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241233FC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服装、鞋帽、针纺织品类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7969B9BA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13117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63E1D2BC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-40.8</w:t>
            </w:r>
          </w:p>
        </w:tc>
      </w:tr>
      <w:tr w14:paraId="27168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02AAA07C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化妆品类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3D63AE39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5258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5B56F784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31.3</w:t>
            </w:r>
          </w:p>
        </w:tc>
      </w:tr>
      <w:tr w14:paraId="08C0C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05DC56CC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金银珠宝类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05F88218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5622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056225EB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75.7</w:t>
            </w:r>
          </w:p>
        </w:tc>
      </w:tr>
      <w:tr w14:paraId="42FFE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1E5FBFAE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日用品类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204064A6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22829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1AE8CA7A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53.9</w:t>
            </w:r>
          </w:p>
        </w:tc>
      </w:tr>
      <w:tr w14:paraId="49ABF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2F472424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五金、电料类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47ECEC80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1546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14F5F2F1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-26.0</w:t>
            </w:r>
          </w:p>
        </w:tc>
      </w:tr>
      <w:tr w14:paraId="61EDE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583F13BD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体育、娱乐用品类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54859B1D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1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43D9604C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-16.7</w:t>
            </w:r>
          </w:p>
        </w:tc>
      </w:tr>
      <w:tr w14:paraId="10E69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245F09E0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书报杂志类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340234DE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8453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1137D82B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-5.9</w:t>
            </w:r>
          </w:p>
        </w:tc>
      </w:tr>
      <w:tr w14:paraId="725DC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0DCC5FEE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电子出版物及音像制品类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40045CBA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1148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28C6B9F1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-18.7</w:t>
            </w:r>
          </w:p>
        </w:tc>
      </w:tr>
      <w:tr w14:paraId="1BDB6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596D0E66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家用电器和音像器材类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5177D86C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54758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5FF61C47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35.3</w:t>
            </w:r>
          </w:p>
        </w:tc>
      </w:tr>
      <w:tr w14:paraId="6FE28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3F39FDC7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中西药品类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22A5F894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14722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00FC2084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20.6</w:t>
            </w:r>
          </w:p>
        </w:tc>
      </w:tr>
      <w:tr w14:paraId="3F7F2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612EB9DD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文化办公用品类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0E19630D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6231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62EEA5E3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56.2</w:t>
            </w:r>
          </w:p>
        </w:tc>
      </w:tr>
      <w:tr w14:paraId="5B74A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44435D08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家具类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15EB469D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7930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0443E9D6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117.8</w:t>
            </w:r>
          </w:p>
        </w:tc>
      </w:tr>
      <w:tr w14:paraId="34D02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441C3D6B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通讯器材类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57C6FF44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62841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32756E04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61.0</w:t>
            </w:r>
          </w:p>
        </w:tc>
      </w:tr>
      <w:tr w14:paraId="69F05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14B93F1E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石油及制品类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5B8635E1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215989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14:paraId="13749C38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33.6</w:t>
            </w:r>
          </w:p>
        </w:tc>
      </w:tr>
      <w:tr w14:paraId="40805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677C344E">
            <w:pPr>
              <w:jc w:val="left"/>
              <w:rPr>
                <w:rFonts w:hint="default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建筑及装潢材料类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5865F103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294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top"/>
          </w:tcPr>
          <w:p w14:paraId="63C137E5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137.2</w:t>
            </w:r>
          </w:p>
        </w:tc>
      </w:tr>
      <w:tr w14:paraId="4D6D8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370C14BF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机电产品及设备类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4F9C126B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146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top"/>
          </w:tcPr>
          <w:p w14:paraId="36A1922C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-81.6</w:t>
            </w:r>
          </w:p>
        </w:tc>
      </w:tr>
      <w:tr w14:paraId="25958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CCFFFF"/>
            <w:vAlign w:val="center"/>
          </w:tcPr>
          <w:p w14:paraId="5B76D0A7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汽车类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06106CD8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 xml:space="preserve">275951 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top"/>
          </w:tcPr>
          <w:p w14:paraId="353114CC">
            <w:pPr>
              <w:widowControl/>
              <w:spacing w:line="480" w:lineRule="auto"/>
              <w:jc w:val="right"/>
              <w:rPr>
                <w:rFonts w:ascii="宋体" w:hAnsi="宋体" w:eastAsia="宋体" w:cs="宋体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</w:rPr>
              <w:t>-3.7</w:t>
            </w:r>
          </w:p>
        </w:tc>
      </w:tr>
      <w:tr w14:paraId="406FF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FF"/>
            <w:vAlign w:val="center"/>
          </w:tcPr>
          <w:p w14:paraId="7F2558CC">
            <w:pPr>
              <w:jc w:val="left"/>
              <w:rPr>
                <w:rFonts w:cs="宋体"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</w:rPr>
              <w:t>其他类</w:t>
            </w:r>
          </w:p>
        </w:tc>
        <w:tc>
          <w:tcPr>
            <w:tcW w:w="1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09C4DE">
            <w:pPr>
              <w:widowControl/>
              <w:spacing w:line="480" w:lineRule="auto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6150</w:t>
            </w:r>
          </w:p>
        </w:tc>
        <w:tc>
          <w:tcPr>
            <w:tcW w:w="1621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5C37F4B0">
            <w:pPr>
              <w:widowControl/>
              <w:spacing w:line="480" w:lineRule="auto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9.1</w:t>
            </w:r>
          </w:p>
        </w:tc>
      </w:tr>
    </w:tbl>
    <w:p w14:paraId="3199407D">
      <w:pPr>
        <w:widowControl/>
        <w:wordWrap w:val="0"/>
        <w:spacing w:before="100" w:beforeAutospacing="1" w:after="100" w:afterAutospacing="1" w:line="480" w:lineRule="auto"/>
        <w:jc w:val="center"/>
        <w:rPr>
          <w:rFonts w:hint="eastAsia" w:ascii="宋体" w:hAnsi="宋体" w:eastAsia="宋体" w:cs="宋体"/>
          <w:b/>
          <w:color w:val="auto"/>
          <w:kern w:val="0"/>
          <w:sz w:val="28"/>
          <w:szCs w:val="28"/>
        </w:rPr>
      </w:pPr>
    </w:p>
    <w:p w14:paraId="5B150D5C">
      <w:pPr>
        <w:widowControl/>
        <w:wordWrap w:val="0"/>
        <w:spacing w:before="100" w:beforeAutospacing="1" w:after="100" w:afterAutospacing="1" w:line="480" w:lineRule="auto"/>
        <w:jc w:val="center"/>
        <w:rPr>
          <w:rFonts w:ascii="宋体" w:hAnsi="宋体" w:eastAsia="宋体" w:cs="宋体"/>
          <w:b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</w:rPr>
        <w:t>六、服务业</w:t>
      </w:r>
    </w:p>
    <w:p w14:paraId="7D3B4EB2">
      <w:pPr>
        <w:widowControl/>
        <w:spacing w:line="480" w:lineRule="auto"/>
        <w:ind w:firstLine="480" w:firstLineChars="200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全年服务业增加值</w:t>
      </w:r>
      <w:r>
        <w:rPr>
          <w:rFonts w:hint="eastAsia" w:ascii="宋体" w:hAnsi="宋体" w:eastAsia="宋体" w:cs="宋体"/>
          <w:color w:val="auto"/>
          <w:kern w:val="0"/>
          <w:sz w:val="24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含开发区</w:t>
      </w:r>
      <w:r>
        <w:rPr>
          <w:rFonts w:hint="eastAsia" w:ascii="宋体" w:hAnsi="宋体" w:eastAsia="宋体" w:cs="宋体"/>
          <w:color w:val="auto"/>
          <w:kern w:val="0"/>
          <w:sz w:val="24"/>
          <w:lang w:eastAsia="zh-CN"/>
        </w:rPr>
        <w:t>）</w:t>
      </w:r>
      <w:r>
        <w:rPr>
          <w:rFonts w:ascii="宋体" w:hAnsi="宋体" w:eastAsia="宋体" w:cs="宋体"/>
          <w:color w:val="auto"/>
          <w:kern w:val="0"/>
          <w:sz w:val="24"/>
        </w:rPr>
        <w:t>3296701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万元，比上年增长</w:t>
      </w:r>
      <w:r>
        <w:rPr>
          <w:rFonts w:ascii="宋体" w:hAnsi="宋体" w:eastAsia="宋体" w:cs="宋体"/>
          <w:color w:val="auto"/>
          <w:kern w:val="0"/>
          <w:sz w:val="24"/>
        </w:rPr>
        <w:t>4.9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%。批发和零售业增加值</w:t>
      </w:r>
      <w:r>
        <w:rPr>
          <w:rFonts w:ascii="宋体" w:hAnsi="宋体" w:eastAsia="宋体" w:cs="宋体"/>
          <w:color w:val="auto"/>
          <w:kern w:val="0"/>
          <w:sz w:val="24"/>
        </w:rPr>
        <w:t>523693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万元，比上年下降0</w:t>
      </w:r>
      <w:r>
        <w:rPr>
          <w:rFonts w:ascii="宋体" w:hAnsi="宋体" w:eastAsia="宋体" w:cs="宋体"/>
          <w:color w:val="auto"/>
          <w:kern w:val="0"/>
          <w:sz w:val="24"/>
        </w:rPr>
        <w:t>.7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%；交通运输、仓储和邮政业增加值3</w:t>
      </w:r>
      <w:r>
        <w:rPr>
          <w:rFonts w:ascii="宋体" w:hAnsi="宋体" w:eastAsia="宋体" w:cs="宋体"/>
          <w:color w:val="auto"/>
          <w:kern w:val="0"/>
          <w:sz w:val="24"/>
        </w:rPr>
        <w:t>88068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</w:t>
      </w:r>
      <w:r>
        <w:rPr>
          <w:rFonts w:ascii="宋体" w:hAnsi="宋体" w:eastAsia="宋体" w:cs="宋体"/>
          <w:color w:val="auto"/>
          <w:kern w:val="0"/>
          <w:sz w:val="24"/>
        </w:rPr>
        <w:t>2.5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%；住宿和餐饮业增加值</w:t>
      </w:r>
      <w:r>
        <w:rPr>
          <w:rFonts w:ascii="宋体" w:hAnsi="宋体" w:eastAsia="宋体" w:cs="宋体"/>
          <w:color w:val="auto"/>
          <w:kern w:val="0"/>
          <w:sz w:val="24"/>
        </w:rPr>
        <w:t>76854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</w:t>
      </w:r>
      <w:r>
        <w:rPr>
          <w:rFonts w:ascii="宋体" w:hAnsi="宋体" w:eastAsia="宋体" w:cs="宋体"/>
          <w:color w:val="auto"/>
          <w:kern w:val="0"/>
          <w:sz w:val="24"/>
        </w:rPr>
        <w:t>19.7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%；金融业增加值</w:t>
      </w:r>
      <w:r>
        <w:rPr>
          <w:rFonts w:ascii="宋体" w:hAnsi="宋体" w:eastAsia="宋体" w:cs="宋体"/>
          <w:color w:val="auto"/>
          <w:kern w:val="0"/>
          <w:sz w:val="24"/>
        </w:rPr>
        <w:t>501222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万元，增长5</w:t>
      </w:r>
      <w:r>
        <w:rPr>
          <w:rFonts w:ascii="宋体" w:hAnsi="宋体" w:eastAsia="宋体" w:cs="宋体"/>
          <w:color w:val="auto"/>
          <w:kern w:val="0"/>
          <w:sz w:val="24"/>
        </w:rPr>
        <w:t>.6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%；房地产业增加值</w:t>
      </w:r>
      <w:r>
        <w:rPr>
          <w:rFonts w:ascii="宋体" w:hAnsi="宋体" w:eastAsia="宋体" w:cs="宋体"/>
          <w:color w:val="auto"/>
          <w:kern w:val="0"/>
          <w:sz w:val="24"/>
        </w:rPr>
        <w:t>286550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</w:t>
      </w:r>
      <w:r>
        <w:rPr>
          <w:rFonts w:ascii="宋体" w:hAnsi="宋体" w:eastAsia="宋体" w:cs="宋体"/>
          <w:color w:val="auto"/>
          <w:kern w:val="0"/>
          <w:sz w:val="24"/>
        </w:rPr>
        <w:t>1.0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%；营利性服务业增加值</w:t>
      </w:r>
      <w:r>
        <w:rPr>
          <w:rFonts w:ascii="宋体" w:hAnsi="宋体" w:eastAsia="宋体" w:cs="宋体"/>
          <w:color w:val="auto"/>
          <w:kern w:val="0"/>
          <w:sz w:val="24"/>
        </w:rPr>
        <w:t>719332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</w:t>
      </w:r>
      <w:r>
        <w:rPr>
          <w:rFonts w:ascii="宋体" w:hAnsi="宋体" w:eastAsia="宋体" w:cs="宋体"/>
          <w:color w:val="auto"/>
          <w:kern w:val="0"/>
          <w:sz w:val="24"/>
        </w:rPr>
        <w:t>8.2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%；非营利性服务业增加值7</w:t>
      </w:r>
      <w:r>
        <w:rPr>
          <w:rFonts w:ascii="宋体" w:hAnsi="宋体" w:eastAsia="宋体" w:cs="宋体"/>
          <w:color w:val="auto"/>
          <w:kern w:val="0"/>
          <w:sz w:val="24"/>
        </w:rPr>
        <w:t>99785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万元，增长</w:t>
      </w:r>
      <w:r>
        <w:rPr>
          <w:rFonts w:ascii="宋体" w:hAnsi="宋体" w:eastAsia="宋体" w:cs="宋体"/>
          <w:color w:val="auto"/>
          <w:kern w:val="0"/>
          <w:sz w:val="24"/>
        </w:rPr>
        <w:t>6.3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%。全年全区规模以上服务业企业</w:t>
      </w:r>
      <w:r>
        <w:rPr>
          <w:rFonts w:ascii="宋体" w:hAnsi="宋体" w:eastAsia="宋体" w:cs="宋体"/>
          <w:color w:val="auto"/>
          <w:kern w:val="0"/>
          <w:sz w:val="24"/>
        </w:rPr>
        <w:t>60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家，营业收入实现</w:t>
      </w:r>
      <w:r>
        <w:rPr>
          <w:rFonts w:ascii="宋体" w:hAnsi="宋体" w:eastAsia="宋体" w:cs="宋体"/>
          <w:color w:val="auto"/>
          <w:kern w:val="0"/>
          <w:sz w:val="24"/>
        </w:rPr>
        <w:t>681380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万元，比上年增长</w:t>
      </w:r>
      <w:r>
        <w:rPr>
          <w:rFonts w:ascii="宋体" w:hAnsi="宋体" w:eastAsia="宋体" w:cs="宋体"/>
          <w:color w:val="auto"/>
          <w:kern w:val="0"/>
          <w:sz w:val="24"/>
        </w:rPr>
        <w:t>13.5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</w:t>
      </w:r>
    </w:p>
    <w:p w14:paraId="4C23A53E">
      <w:pPr>
        <w:widowControl/>
        <w:spacing w:line="580" w:lineRule="exact"/>
        <w:ind w:firstLine="602" w:firstLineChars="250"/>
        <w:jc w:val="center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</w:rPr>
        <w:t>图5  201</w:t>
      </w:r>
      <w:r>
        <w:rPr>
          <w:rFonts w:ascii="宋体" w:hAnsi="宋体" w:cs="宋体"/>
          <w:b/>
          <w:color w:val="auto"/>
          <w:kern w:val="0"/>
          <w:sz w:val="24"/>
        </w:rPr>
        <w:t>8</w:t>
      </w:r>
      <w:r>
        <w:rPr>
          <w:rFonts w:hint="eastAsia" w:ascii="宋体" w:hAnsi="宋体" w:cs="宋体"/>
          <w:b/>
          <w:color w:val="auto"/>
          <w:kern w:val="0"/>
          <w:sz w:val="24"/>
        </w:rPr>
        <w:t>-202</w:t>
      </w:r>
      <w:r>
        <w:rPr>
          <w:rFonts w:ascii="宋体" w:hAnsi="宋体" w:cs="宋体"/>
          <w:b/>
          <w:color w:val="auto"/>
          <w:kern w:val="0"/>
          <w:sz w:val="24"/>
        </w:rPr>
        <w:t>3</w:t>
      </w:r>
      <w:r>
        <w:rPr>
          <w:rFonts w:hint="eastAsia" w:ascii="宋体" w:hAnsi="宋体" w:cs="宋体"/>
          <w:b/>
          <w:color w:val="auto"/>
          <w:kern w:val="0"/>
          <w:sz w:val="24"/>
        </w:rPr>
        <w:t>年服务业增加值及增长速度</w:t>
      </w:r>
    </w:p>
    <w:p w14:paraId="2EF2D28C">
      <w:pPr>
        <w:widowControl/>
        <w:spacing w:line="480" w:lineRule="auto"/>
        <w:rPr>
          <w:rFonts w:ascii="宋体" w:hAnsi="宋体" w:eastAsia="宋体" w:cs="宋体"/>
          <w:color w:val="auto"/>
          <w:kern w:val="0"/>
          <w:sz w:val="24"/>
        </w:rPr>
      </w:pPr>
      <w:r>
        <w:rPr>
          <w:color w:val="auto"/>
        </w:rPr>
        <w:drawing>
          <wp:inline distT="0" distB="0" distL="0" distR="0">
            <wp:extent cx="5274310" cy="2950210"/>
            <wp:effectExtent l="0" t="0" r="2540" b="2540"/>
            <wp:docPr id="70587496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73D85DA">
      <w:pPr>
        <w:widowControl/>
        <w:spacing w:line="600" w:lineRule="exact"/>
        <w:ind w:firstLine="480" w:firstLineChars="200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全年全区货物运输量41.4万吨，比上年下降49.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%，货物运输周转量6888万吨公里，下降49.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%；旅客运输量68.17万人，增长155.5%，旅客周转量18008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.3</w:t>
      </w: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万人公里，增长254.4%。全年全区规模以上交通运输、仓储和邮政业企业11家，实现营业收入22.3亿元，增长4.0%；实现利润4.8亿元，下降0.7%。 </w:t>
      </w:r>
      <w:r>
        <w:rPr>
          <w:rFonts w:ascii="宋体" w:hAnsi="宋体" w:eastAsia="宋体" w:cs="宋体"/>
          <w:color w:val="auto"/>
          <w:kern w:val="0"/>
          <w:sz w:val="24"/>
        </w:rPr>
        <w:t xml:space="preserve"> </w:t>
      </w:r>
    </w:p>
    <w:p w14:paraId="0E165AA3">
      <w:pPr>
        <w:widowControl/>
        <w:spacing w:line="600" w:lineRule="exact"/>
        <w:ind w:firstLine="480" w:firstLineChars="200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全年完成邮电业务总量20.3亿元。其中，邮政业务总量1.9亿元，全年完成邮政函件业务50.5万件，包裹业务1.5万件，快递业务475.5万件；快递业务收入903.6万元。电信业务总量19.0亿元，其中，移动业务总量10.2亿元，联通业务总量8.8亿元。</w:t>
      </w:r>
    </w:p>
    <w:p w14:paraId="2DC5C4D7">
      <w:pPr>
        <w:widowControl/>
        <w:spacing w:before="100" w:beforeAutospacing="1" w:after="100" w:afterAutospacing="1" w:line="600" w:lineRule="exact"/>
        <w:jc w:val="center"/>
        <w:rPr>
          <w:rFonts w:ascii="宋体" w:hAnsi="宋体" w:eastAsia="宋体" w:cs="宋体"/>
          <w:b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</w:rPr>
        <w:t>七、固定资产投资</w:t>
      </w:r>
    </w:p>
    <w:p w14:paraId="53C2FB46">
      <w:pPr>
        <w:widowControl/>
        <w:tabs>
          <w:tab w:val="left" w:pos="7020"/>
        </w:tabs>
        <w:spacing w:line="480" w:lineRule="auto"/>
        <w:ind w:firstLine="480" w:firstLineChars="200"/>
        <w:jc w:val="both"/>
        <w:rPr>
          <w:rFonts w:hint="eastAsia"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全年全区固定资产投资项目（含房地产开发项目）24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个，完成投资121.8亿元，比上年增长7.1%。其中，建筑安装工程投资86.1亿元，下降0.7%。民间投资57.3亿元，增长10.2%。基础设施投资21.7亿元，下降13.9%。产业类投资28.7亿元，增长54.7%。</w:t>
      </w:r>
    </w:p>
    <w:p w14:paraId="2F456DD3">
      <w:pPr>
        <w:widowControl/>
        <w:tabs>
          <w:tab w:val="left" w:pos="7020"/>
        </w:tabs>
        <w:spacing w:line="480" w:lineRule="auto"/>
        <w:ind w:firstLine="1687" w:firstLineChars="700"/>
        <w:jc w:val="both"/>
        <w:rPr>
          <w:rFonts w:ascii="宋体" w:hAnsi="宋体" w:cs="宋体"/>
          <w:b/>
          <w:color w:val="auto"/>
          <w:kern w:val="0"/>
          <w:sz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</w:rPr>
        <w:t>图6  201</w:t>
      </w:r>
      <w:r>
        <w:rPr>
          <w:rFonts w:hint="eastAsia" w:ascii="宋体" w:hAnsi="宋体" w:cs="宋体"/>
          <w:b/>
          <w:color w:val="auto"/>
          <w:kern w:val="0"/>
          <w:sz w:val="24"/>
          <w:lang w:val="en-US" w:eastAsia="zh-CN"/>
        </w:rPr>
        <w:t>8</w:t>
      </w:r>
      <w:r>
        <w:rPr>
          <w:rFonts w:hint="eastAsia" w:ascii="宋体" w:hAnsi="宋体" w:cs="宋体"/>
          <w:b/>
          <w:color w:val="auto"/>
          <w:kern w:val="0"/>
          <w:sz w:val="24"/>
        </w:rPr>
        <w:t>-202</w:t>
      </w:r>
      <w:r>
        <w:rPr>
          <w:rFonts w:hint="eastAsia" w:ascii="宋体" w:hAnsi="宋体" w:cs="宋体"/>
          <w:b/>
          <w:color w:val="auto"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b/>
          <w:color w:val="auto"/>
          <w:kern w:val="0"/>
          <w:sz w:val="24"/>
        </w:rPr>
        <w:t>年固定资产投资增长速度</w:t>
      </w:r>
    </w:p>
    <w:p w14:paraId="7655FF57">
      <w:pPr>
        <w:widowControl/>
        <w:tabs>
          <w:tab w:val="left" w:pos="7020"/>
        </w:tabs>
        <w:spacing w:line="480" w:lineRule="auto"/>
        <w:rPr>
          <w:rFonts w:ascii="宋体" w:hAnsi="宋体" w:cs="宋体"/>
          <w:b/>
          <w:color w:val="auto"/>
          <w:kern w:val="0"/>
          <w:sz w:val="24"/>
        </w:rPr>
      </w:pPr>
      <w:r>
        <w:rPr>
          <w:color w:val="auto"/>
        </w:rPr>
        <w:drawing>
          <wp:inline distT="0" distB="0" distL="114300" distR="114300">
            <wp:extent cx="5273675" cy="3002915"/>
            <wp:effectExtent l="4445" t="4445" r="17780" b="21590"/>
            <wp:docPr id="8" name="图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71A83FD">
      <w:pPr>
        <w:widowControl/>
        <w:spacing w:line="48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</w:rPr>
      </w:pPr>
      <w:bookmarkStart w:id="1" w:name="_Hlk69913400"/>
      <w:r>
        <w:rPr>
          <w:rFonts w:hint="eastAsia" w:ascii="宋体" w:hAnsi="宋体" w:eastAsia="宋体" w:cs="宋体"/>
          <w:color w:val="auto"/>
          <w:kern w:val="0"/>
          <w:sz w:val="24"/>
        </w:rPr>
        <w:t>在固定资产投资中，第一产业投资1.6亿元，增长30.4%；第二产业投资7.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亿元，下降37.5%；第三产业投资112.4亿元，增长12.4%。</w:t>
      </w:r>
    </w:p>
    <w:p w14:paraId="314F561A">
      <w:pPr>
        <w:widowControl/>
        <w:spacing w:line="48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全年房地产开发投资49.3亿元，比上年增长5.3%。其中，住宅投资35.1亿元，增长16.9%；办公楼投资0.3亿元，增长96.1%；商业营业用房投资4.9亿元，增长9.8%。</w:t>
      </w:r>
    </w:p>
    <w:p w14:paraId="25D1D8C4">
      <w:pPr>
        <w:widowControl/>
        <w:spacing w:line="480" w:lineRule="auto"/>
        <w:ind w:firstLine="482" w:firstLineChars="200"/>
        <w:jc w:val="center"/>
        <w:rPr>
          <w:rFonts w:ascii="宋体" w:hAnsi="宋体" w:eastAsia="宋体" w:cs="宋体"/>
          <w:b/>
          <w:color w:val="auto"/>
          <w:kern w:val="0"/>
          <w:sz w:val="24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</w:rPr>
        <w:t>表6  202</w:t>
      </w:r>
      <w:r>
        <w:rPr>
          <w:rFonts w:hint="eastAsia" w:ascii="宋体" w:hAnsi="宋体" w:eastAsia="宋体" w:cs="宋体"/>
          <w:b/>
          <w:color w:val="auto"/>
          <w:kern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color w:val="auto"/>
          <w:kern w:val="0"/>
          <w:sz w:val="24"/>
        </w:rPr>
        <w:t>年房地产开发和销售情况</w:t>
      </w:r>
    </w:p>
    <w:tbl>
      <w:tblPr>
        <w:tblStyle w:val="6"/>
        <w:tblW w:w="7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636"/>
        <w:gridCol w:w="1604"/>
        <w:gridCol w:w="1800"/>
      </w:tblGrid>
      <w:tr w14:paraId="182CB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FF"/>
          </w:tcPr>
          <w:p w14:paraId="209490DB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指标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</w:tcPr>
          <w:p w14:paraId="48BAD994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单位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FFFF"/>
          </w:tcPr>
          <w:p w14:paraId="045CAF51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绝对数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CCFFFF"/>
          </w:tcPr>
          <w:p w14:paraId="4BFD6373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比上年增长%</w:t>
            </w:r>
          </w:p>
        </w:tc>
      </w:tr>
      <w:tr w14:paraId="6CEB8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CCFFFF"/>
          </w:tcPr>
          <w:p w14:paraId="6B040551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投资完成额</w:t>
            </w:r>
          </w:p>
          <w:p w14:paraId="360FACBE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  其中：住宅</w:t>
            </w:r>
          </w:p>
          <w:p w14:paraId="1863E00C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房屋施工面积</w:t>
            </w:r>
          </w:p>
          <w:p w14:paraId="2BC25DAA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  其中：住宅</w:t>
            </w:r>
          </w:p>
          <w:p w14:paraId="5E2441E3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房屋新开工面积</w:t>
            </w:r>
          </w:p>
          <w:p w14:paraId="2E1FEA2C">
            <w:pPr>
              <w:widowControl/>
              <w:spacing w:line="480" w:lineRule="auto"/>
              <w:ind w:firstLine="240" w:firstLineChars="100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其中：住宅</w:t>
            </w:r>
          </w:p>
          <w:p w14:paraId="2501A44E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房屋竣工面积</w:t>
            </w:r>
          </w:p>
          <w:p w14:paraId="26E9449A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  其中：住宅</w:t>
            </w:r>
          </w:p>
          <w:p w14:paraId="666C7BE4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商品房销售面积</w:t>
            </w:r>
          </w:p>
          <w:p w14:paraId="7088684F">
            <w:pPr>
              <w:widowControl/>
              <w:spacing w:line="480" w:lineRule="auto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  其中：住宅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524CA1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亿元</w:t>
            </w:r>
          </w:p>
          <w:p w14:paraId="2A3E606B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亿元</w:t>
            </w:r>
          </w:p>
          <w:p w14:paraId="52596458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平方米</w:t>
            </w:r>
          </w:p>
          <w:p w14:paraId="6A5A0C35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平方米</w:t>
            </w:r>
          </w:p>
          <w:p w14:paraId="3FBE30B1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平方米</w:t>
            </w:r>
          </w:p>
          <w:p w14:paraId="0774D71A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平方米</w:t>
            </w:r>
          </w:p>
          <w:p w14:paraId="64D95BB6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平方米</w:t>
            </w:r>
          </w:p>
          <w:p w14:paraId="068C108A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平方米</w:t>
            </w:r>
          </w:p>
          <w:p w14:paraId="7FEDE754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平方米</w:t>
            </w:r>
          </w:p>
          <w:p w14:paraId="4A19F08A">
            <w:pPr>
              <w:widowControl/>
              <w:spacing w:line="48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平方米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C43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49.3</w:t>
            </w:r>
          </w:p>
          <w:p w14:paraId="3F2FC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35.1</w:t>
            </w:r>
          </w:p>
          <w:p w14:paraId="0997E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4738111</w:t>
            </w:r>
          </w:p>
          <w:p w14:paraId="72EC40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3517393</w:t>
            </w:r>
          </w:p>
          <w:p w14:paraId="74858B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1082524</w:t>
            </w:r>
          </w:p>
          <w:p w14:paraId="7827E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842523</w:t>
            </w:r>
          </w:p>
          <w:p w14:paraId="4D0C3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/>
              </w:rPr>
              <w:t>1573549</w:t>
            </w:r>
          </w:p>
          <w:p w14:paraId="704739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/>
              </w:rPr>
              <w:t>1206609</w:t>
            </w:r>
          </w:p>
          <w:p w14:paraId="572C2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/>
              </w:rPr>
              <w:t>560660</w:t>
            </w:r>
          </w:p>
          <w:p w14:paraId="210CD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leftChars="0" w:right="0" w:rightChars="0"/>
              <w:jc w:val="righ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/>
              </w:rPr>
              <w:t>546818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top"/>
          </w:tcPr>
          <w:p w14:paraId="1E264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5.3</w:t>
            </w:r>
          </w:p>
          <w:p w14:paraId="53823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16.9</w:t>
            </w:r>
          </w:p>
          <w:p w14:paraId="021730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-16.0</w:t>
            </w:r>
          </w:p>
          <w:p w14:paraId="16FFB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-15.9</w:t>
            </w:r>
          </w:p>
          <w:p w14:paraId="1A19B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25.0</w:t>
            </w:r>
          </w:p>
          <w:p w14:paraId="1A691A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32.2</w:t>
            </w:r>
          </w:p>
          <w:p w14:paraId="5D7DF9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6.9</w:t>
            </w:r>
          </w:p>
          <w:p w14:paraId="578686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9.5</w:t>
            </w:r>
          </w:p>
          <w:p w14:paraId="4C20A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-5.5</w:t>
            </w:r>
          </w:p>
          <w:p w14:paraId="7EC82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leftChars="0" w:right="0" w:rightChars="0"/>
              <w:jc w:val="righ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3.5</w:t>
            </w:r>
          </w:p>
        </w:tc>
      </w:tr>
      <w:bookmarkEnd w:id="1"/>
    </w:tbl>
    <w:p w14:paraId="48001095">
      <w:pPr>
        <w:widowControl/>
        <w:spacing w:before="100" w:beforeAutospacing="1" w:after="100" w:afterAutospacing="1" w:line="600" w:lineRule="exact"/>
        <w:jc w:val="center"/>
        <w:rPr>
          <w:rFonts w:ascii="宋体" w:hAnsi="宋体" w:eastAsia="宋体" w:cs="宋体"/>
          <w:b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</w:rPr>
        <w:t>八、教育、科技、文化、卫生和体育</w:t>
      </w:r>
    </w:p>
    <w:p w14:paraId="0C2763E2">
      <w:pPr>
        <w:widowControl/>
        <w:spacing w:line="600" w:lineRule="exact"/>
        <w:ind w:firstLine="480" w:firstLineChars="200"/>
        <w:rPr>
          <w:rFonts w:ascii="宋体" w:hAnsi="宋体" w:eastAsia="宋体" w:cs="宋体"/>
          <w:color w:val="auto"/>
          <w:kern w:val="0"/>
          <w:sz w:val="24"/>
        </w:rPr>
      </w:pPr>
      <w:bookmarkStart w:id="2" w:name="_Hlk69914006"/>
      <w:r>
        <w:rPr>
          <w:rFonts w:hint="eastAsia" w:ascii="宋体" w:hAnsi="宋体" w:eastAsia="宋体" w:cs="宋体"/>
          <w:color w:val="auto"/>
          <w:kern w:val="0"/>
          <w:sz w:val="24"/>
        </w:rPr>
        <w:t>民生福祉持续增进。始终把群众安危冷暖记在心上、扛在肩上，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全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年用于民生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投资7.9亿元，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占全区一般公共预算收入的84%，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办成了省市区28件民生实事，惠及各类群体16.5万人。聚焦群众上学、就业、看病、养老、住房等难题，高标准建成8所学校，回收4所幼儿园，新增学位4170个；新建1个零工市场、17个就业平台、47个共富驿站，新增就业1.3万人；73个村卫生室诊疗设施完成配备更新；西巷、时家岭等3处幸福养老工程全面建成，新星托育中心主体封顶；老城31栋4026套回迁房顺利交付，真正把一张张“民生清单”兑现成为老百姓的“幸福账单”。</w:t>
      </w:r>
    </w:p>
    <w:p w14:paraId="5ECC1C68">
      <w:pPr>
        <w:widowControl/>
        <w:spacing w:line="600" w:lineRule="exact"/>
        <w:ind w:firstLine="480" w:firstLineChars="200"/>
        <w:rPr>
          <w:rFonts w:hint="eastAsia"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全年全区财政性教育投入达到5.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亿元，占财政总支出的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16.8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</w:t>
      </w:r>
      <w:bookmarkEnd w:id="2"/>
      <w:r>
        <w:rPr>
          <w:rFonts w:hint="eastAsia" w:ascii="宋体" w:hAnsi="宋体" w:eastAsia="宋体" w:cs="宋体"/>
          <w:color w:val="auto"/>
          <w:kern w:val="0"/>
          <w:sz w:val="24"/>
        </w:rPr>
        <w:t>年末全区有普通中学31所，招生9611人，在校生29990人，毕业生9364人，教职工4262人；职业中学6所，招生2665人，在校生8141人，毕业生2874人，教职工651人；小学51所，招生9764人，在校生42647人，毕业生6258人，教职工2285人；幼儿园101所，招生7002人，在园幼儿23947人，毕业幼儿8846人，教职工3092人。</w:t>
      </w:r>
    </w:p>
    <w:p w14:paraId="3C9CFD52">
      <w:pPr>
        <w:widowControl/>
        <w:spacing w:line="600" w:lineRule="exact"/>
        <w:ind w:firstLine="480" w:firstLineChars="200"/>
        <w:rPr>
          <w:rFonts w:hint="eastAsia"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年末全区有公共图书馆1个，藏书11.3万册；文化馆1个，组织文艺活动和培训77次，图书馆和文化馆收入310.2万元；艺术表演团体1个，演出场次520场，观众人数15万人次，收入320万元；广播电视台1个，自制作电视节目96小时。有线电视覆盖率100%。书店系统总发行图书4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53.0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万册，图书发行总值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8905.3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万元。</w:t>
      </w:r>
    </w:p>
    <w:p w14:paraId="21AEDE3F">
      <w:pPr>
        <w:widowControl/>
        <w:spacing w:line="600" w:lineRule="exact"/>
        <w:ind w:firstLine="480" w:firstLineChars="200"/>
        <w:rPr>
          <w:rFonts w:hint="eastAsia"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年末全区共有卫生机构119个，开放床位942张，从业人员2100人，电脑1346台，各种医疗器械199台。</w:t>
      </w:r>
    </w:p>
    <w:p w14:paraId="3ADD4D36">
      <w:pPr>
        <w:widowControl/>
        <w:spacing w:line="600" w:lineRule="exact"/>
        <w:ind w:firstLine="480" w:firstLineChars="200"/>
        <w:rPr>
          <w:rFonts w:hint="eastAsia"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年末全区有体育机构1个，举办运动会14次，参会运动员4000余人。</w:t>
      </w:r>
    </w:p>
    <w:p w14:paraId="4FA43CC9">
      <w:pPr>
        <w:widowControl/>
        <w:spacing w:line="600" w:lineRule="exact"/>
        <w:ind w:firstLine="2249" w:firstLineChars="800"/>
        <w:rPr>
          <w:rFonts w:ascii="宋体" w:hAnsi="宋体" w:eastAsia="宋体" w:cs="宋体"/>
          <w:b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kern w:val="0"/>
          <w:sz w:val="28"/>
          <w:szCs w:val="28"/>
        </w:rPr>
        <w:t>九、居民收入消费和社会保障</w:t>
      </w:r>
    </w:p>
    <w:p w14:paraId="1C099505">
      <w:pPr>
        <w:widowControl/>
        <w:wordWrap w:val="0"/>
        <w:spacing w:line="600" w:lineRule="exact"/>
        <w:ind w:firstLine="480" w:firstLineChars="200"/>
        <w:jc w:val="left"/>
        <w:rPr>
          <w:rFonts w:eastAsia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全年全区城镇居民人均可支配收入4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6385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元，比上年增长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5.0</w:t>
      </w:r>
      <w:r>
        <w:rPr>
          <w:rFonts w:hint="eastAsia" w:ascii="宋体" w:hAnsi="宋体" w:eastAsia="宋体" w:cs="宋体"/>
          <w:color w:val="auto"/>
          <w:kern w:val="0"/>
          <w:sz w:val="24"/>
        </w:rPr>
        <w:t>%。</w:t>
      </w:r>
    </w:p>
    <w:p w14:paraId="7A53A3EB">
      <w:pPr>
        <w:widowControl/>
        <w:spacing w:line="580" w:lineRule="exact"/>
        <w:ind w:firstLine="602" w:firstLineChars="250"/>
        <w:jc w:val="center"/>
        <w:rPr>
          <w:rFonts w:ascii="宋体" w:hAnsi="宋体" w:cs="宋体"/>
          <w:b/>
          <w:color w:val="auto"/>
          <w:kern w:val="0"/>
          <w:sz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</w:rPr>
        <w:t>图7  201</w:t>
      </w:r>
      <w:r>
        <w:rPr>
          <w:rFonts w:hint="eastAsia" w:ascii="宋体" w:hAnsi="宋体" w:cs="宋体"/>
          <w:b/>
          <w:color w:val="auto"/>
          <w:kern w:val="0"/>
          <w:sz w:val="24"/>
          <w:lang w:val="en-US" w:eastAsia="zh-CN"/>
        </w:rPr>
        <w:t>8</w:t>
      </w:r>
      <w:r>
        <w:rPr>
          <w:rFonts w:hint="eastAsia" w:ascii="宋体" w:hAnsi="宋体" w:cs="宋体"/>
          <w:b/>
          <w:color w:val="auto"/>
          <w:kern w:val="0"/>
          <w:sz w:val="24"/>
        </w:rPr>
        <w:t>-202</w:t>
      </w:r>
      <w:r>
        <w:rPr>
          <w:rFonts w:hint="eastAsia" w:ascii="宋体" w:hAnsi="宋体" w:cs="宋体"/>
          <w:b/>
          <w:color w:val="auto"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b/>
          <w:color w:val="auto"/>
          <w:kern w:val="0"/>
          <w:sz w:val="24"/>
        </w:rPr>
        <w:t>年城镇居民人均可支配收入及增长速度</w:t>
      </w:r>
    </w:p>
    <w:p w14:paraId="557C5016">
      <w:pPr>
        <w:widowControl/>
        <w:spacing w:line="360" w:lineRule="auto"/>
        <w:rPr>
          <w:rFonts w:ascii="宋体" w:hAnsi="宋体" w:eastAsia="宋体" w:cs="宋体"/>
          <w:color w:val="auto"/>
          <w:kern w:val="0"/>
          <w:sz w:val="24"/>
        </w:rPr>
      </w:pPr>
      <w:r>
        <w:rPr>
          <w:color w:val="auto"/>
        </w:rPr>
        <w:drawing>
          <wp:inline distT="0" distB="0" distL="114300" distR="114300">
            <wp:extent cx="5273675" cy="2870200"/>
            <wp:effectExtent l="4445" t="4445" r="17780" b="20955"/>
            <wp:docPr id="9" name="图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99DB2FD">
      <w:pPr>
        <w:widowControl/>
        <w:spacing w:line="600" w:lineRule="exact"/>
        <w:ind w:firstLine="482"/>
        <w:rPr>
          <w:rFonts w:hint="eastAsia"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参加城乡居民养老保险68944人，减少203人。参加城镇职工基本医疗保险50935人，增加6264人。参加城乡居民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基本</w:t>
      </w:r>
      <w:bookmarkStart w:id="3" w:name="_GoBack"/>
      <w:bookmarkEnd w:id="3"/>
      <w:r>
        <w:rPr>
          <w:rFonts w:hint="eastAsia" w:ascii="宋体" w:hAnsi="宋体" w:eastAsia="宋体" w:cs="宋体"/>
          <w:color w:val="auto"/>
          <w:kern w:val="0"/>
          <w:sz w:val="24"/>
        </w:rPr>
        <w:t>医疗保险190261人，增加1810人，参保率达100%。参加失业保险42439人，增加6850人。</w:t>
      </w:r>
    </w:p>
    <w:p w14:paraId="4B947011">
      <w:pPr>
        <w:widowControl/>
        <w:spacing w:line="600" w:lineRule="exact"/>
        <w:ind w:firstLine="482" w:firstLineChars="200"/>
        <w:jc w:val="left"/>
        <w:rPr>
          <w:rFonts w:hint="eastAsia" w:ascii="宋体" w:hAnsi="宋体" w:eastAsia="宋体" w:cs="宋体"/>
          <w:b/>
          <w:color w:val="auto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</w:rPr>
        <w:t>注释</w:t>
      </w:r>
      <w:r>
        <w:rPr>
          <w:rFonts w:hint="eastAsia" w:ascii="宋体" w:hAnsi="宋体" w:eastAsia="宋体" w:cs="宋体"/>
          <w:b/>
          <w:color w:val="auto"/>
          <w:kern w:val="0"/>
          <w:sz w:val="24"/>
          <w:lang w:eastAsia="zh-CN"/>
        </w:rPr>
        <w:t>：</w:t>
      </w:r>
    </w:p>
    <w:p w14:paraId="47F9B230">
      <w:pPr>
        <w:widowControl/>
        <w:spacing w:line="6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1.本公报部分数据为初步统计数。</w:t>
      </w:r>
    </w:p>
    <w:p w14:paraId="0573ADC3">
      <w:pPr>
        <w:widowControl/>
        <w:spacing w:line="6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2.本公报部分数据由相关部门提供。</w:t>
      </w:r>
    </w:p>
    <w:p w14:paraId="05DEAB9F">
      <w:pPr>
        <w:widowControl/>
        <w:spacing w:line="6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ascii="宋体" w:hAnsi="宋体" w:eastAsia="宋体" w:cs="宋体"/>
          <w:color w:val="auto"/>
          <w:kern w:val="0"/>
          <w:sz w:val="24"/>
        </w:rPr>
        <w:t>3.</w:t>
      </w:r>
      <w:r>
        <w:rPr>
          <w:rFonts w:hint="eastAsia" w:ascii="宋体" w:hAnsi="宋体" w:eastAsia="宋体" w:cs="宋体"/>
          <w:color w:val="auto"/>
          <w:kern w:val="0"/>
          <w:sz w:val="24"/>
        </w:rPr>
        <w:t>人口、生产总值、农业、服务业、财政、金融证券保险业、教育、卫生、社会保障、城镇居民可支配收入等部分数据为含北石店口径。</w:t>
      </w:r>
    </w:p>
    <w:p w14:paraId="6CCB1D64">
      <w:pPr>
        <w:widowControl/>
        <w:spacing w:line="6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ascii="宋体" w:hAnsi="宋体" w:eastAsia="宋体" w:cs="宋体"/>
          <w:color w:val="auto"/>
          <w:kern w:val="0"/>
          <w:sz w:val="24"/>
        </w:rPr>
        <w:t>4.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工业和建筑业、民营经济、固定资产投资、社会消费品零售总额、交通运输、邮电指标等部分数据为含南村口径。</w:t>
      </w:r>
    </w:p>
    <w:p w14:paraId="50310970">
      <w:pPr>
        <w:widowControl/>
        <w:spacing w:line="6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ascii="宋体" w:hAnsi="宋体" w:eastAsia="宋体" w:cs="宋体"/>
          <w:color w:val="auto"/>
          <w:kern w:val="0"/>
          <w:sz w:val="24"/>
        </w:rPr>
        <w:t>5</w:t>
      </w:r>
      <w:r>
        <w:rPr>
          <w:rFonts w:hint="eastAsia" w:ascii="宋体" w:hAnsi="宋体" w:eastAsia="宋体" w:cs="宋体"/>
          <w:color w:val="auto"/>
          <w:kern w:val="0"/>
          <w:sz w:val="24"/>
        </w:rPr>
        <w:t>.地区生产总值、各行业增加值绝对数按现价计算，增长速度按可比价计算。</w:t>
      </w:r>
    </w:p>
    <w:p w14:paraId="163D7D2B">
      <w:pPr>
        <w:widowControl/>
        <w:spacing w:line="6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ascii="宋体" w:hAnsi="宋体" w:eastAsia="宋体" w:cs="宋体"/>
          <w:color w:val="auto"/>
          <w:kern w:val="0"/>
          <w:sz w:val="24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</w:rPr>
        <w:t>.本公报中货物、旅客运输量和周转量数据仅包括省运和市运。</w:t>
      </w:r>
    </w:p>
    <w:p w14:paraId="6FD51A02">
      <w:pPr>
        <w:widowControl/>
        <w:spacing w:line="6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ascii="宋体" w:hAnsi="宋体" w:eastAsia="宋体" w:cs="宋体"/>
          <w:color w:val="auto"/>
          <w:kern w:val="0"/>
          <w:sz w:val="24"/>
        </w:rPr>
        <w:t>7</w:t>
      </w:r>
      <w:r>
        <w:rPr>
          <w:rFonts w:hint="eastAsia" w:ascii="宋体" w:hAnsi="宋体" w:eastAsia="宋体" w:cs="宋体"/>
          <w:color w:val="auto"/>
          <w:kern w:val="0"/>
          <w:sz w:val="24"/>
        </w:rPr>
        <w:t>.本公报中邮政业务包括城区和泽州。</w:t>
      </w:r>
    </w:p>
    <w:p w14:paraId="250DE261">
      <w:pPr>
        <w:widowControl/>
        <w:spacing w:line="6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ascii="宋体" w:hAnsi="宋体" w:eastAsia="宋体" w:cs="宋体"/>
          <w:color w:val="auto"/>
          <w:kern w:val="0"/>
          <w:sz w:val="24"/>
        </w:rPr>
        <w:t>8</w:t>
      </w:r>
      <w:r>
        <w:rPr>
          <w:rFonts w:hint="eastAsia" w:ascii="宋体" w:hAnsi="宋体" w:eastAsia="宋体" w:cs="宋体"/>
          <w:color w:val="auto"/>
          <w:kern w:val="0"/>
          <w:sz w:val="24"/>
        </w:rPr>
        <w:t>.教育方面数据未包括市属中专以上学校。</w:t>
      </w:r>
    </w:p>
    <w:p w14:paraId="191D06D0">
      <w:pPr>
        <w:widowControl/>
        <w:spacing w:line="600" w:lineRule="exact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ascii="宋体" w:hAnsi="宋体" w:eastAsia="宋体" w:cs="宋体"/>
          <w:color w:val="auto"/>
          <w:kern w:val="0"/>
          <w:sz w:val="24"/>
        </w:rPr>
        <w:t>9</w:t>
      </w:r>
      <w:r>
        <w:rPr>
          <w:rFonts w:hint="eastAsia" w:ascii="宋体" w:hAnsi="宋体" w:eastAsia="宋体" w:cs="宋体"/>
          <w:color w:val="auto"/>
          <w:kern w:val="0"/>
          <w:sz w:val="24"/>
        </w:rPr>
        <w:t>.本公报所列增加、增长、减少、下降均系与上年比较。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mZDgxMGUxZDkxZTcxMWQ1MTkzZWQxOGU2MWJjZWYifQ=="/>
    <w:docVar w:name="KSO_WPS_MARK_KEY" w:val="81c9e5ae-6066-45e2-ac73-264ad2b4e98b"/>
  </w:docVars>
  <w:rsids>
    <w:rsidRoot w:val="008635FB"/>
    <w:rsid w:val="000050B1"/>
    <w:rsid w:val="0000571B"/>
    <w:rsid w:val="00017D38"/>
    <w:rsid w:val="00021774"/>
    <w:rsid w:val="0003593B"/>
    <w:rsid w:val="0004554C"/>
    <w:rsid w:val="00047828"/>
    <w:rsid w:val="000524D7"/>
    <w:rsid w:val="0005337E"/>
    <w:rsid w:val="0006114B"/>
    <w:rsid w:val="0006198E"/>
    <w:rsid w:val="00063CAC"/>
    <w:rsid w:val="0006403B"/>
    <w:rsid w:val="00064370"/>
    <w:rsid w:val="000728F5"/>
    <w:rsid w:val="00077AF1"/>
    <w:rsid w:val="0008303E"/>
    <w:rsid w:val="0009345D"/>
    <w:rsid w:val="000968A4"/>
    <w:rsid w:val="000A166B"/>
    <w:rsid w:val="000A31C6"/>
    <w:rsid w:val="000B1245"/>
    <w:rsid w:val="000B79DB"/>
    <w:rsid w:val="000C277A"/>
    <w:rsid w:val="000C3349"/>
    <w:rsid w:val="000D7D4C"/>
    <w:rsid w:val="000E5383"/>
    <w:rsid w:val="000F351D"/>
    <w:rsid w:val="000F6CB5"/>
    <w:rsid w:val="00106E0C"/>
    <w:rsid w:val="00114534"/>
    <w:rsid w:val="00115BE4"/>
    <w:rsid w:val="00125E77"/>
    <w:rsid w:val="00130888"/>
    <w:rsid w:val="00137A7E"/>
    <w:rsid w:val="00155BCA"/>
    <w:rsid w:val="00161F83"/>
    <w:rsid w:val="0016654D"/>
    <w:rsid w:val="00175A51"/>
    <w:rsid w:val="00180D91"/>
    <w:rsid w:val="00181395"/>
    <w:rsid w:val="001902F4"/>
    <w:rsid w:val="00191090"/>
    <w:rsid w:val="001923E8"/>
    <w:rsid w:val="00195FE4"/>
    <w:rsid w:val="0019780A"/>
    <w:rsid w:val="001A021A"/>
    <w:rsid w:val="001A51D3"/>
    <w:rsid w:val="001A5759"/>
    <w:rsid w:val="001B2185"/>
    <w:rsid w:val="001B4F22"/>
    <w:rsid w:val="001B53B3"/>
    <w:rsid w:val="001B6BA7"/>
    <w:rsid w:val="001C213A"/>
    <w:rsid w:val="001C4D8F"/>
    <w:rsid w:val="001D7EF7"/>
    <w:rsid w:val="001E188E"/>
    <w:rsid w:val="001E3F14"/>
    <w:rsid w:val="001E6E19"/>
    <w:rsid w:val="001F1D81"/>
    <w:rsid w:val="002051B6"/>
    <w:rsid w:val="00207409"/>
    <w:rsid w:val="00207D48"/>
    <w:rsid w:val="00207F26"/>
    <w:rsid w:val="00211E20"/>
    <w:rsid w:val="0021614F"/>
    <w:rsid w:val="0022277E"/>
    <w:rsid w:val="00223FBF"/>
    <w:rsid w:val="002247BE"/>
    <w:rsid w:val="00233344"/>
    <w:rsid w:val="00233387"/>
    <w:rsid w:val="002374EB"/>
    <w:rsid w:val="00244402"/>
    <w:rsid w:val="00250208"/>
    <w:rsid w:val="00255812"/>
    <w:rsid w:val="00255869"/>
    <w:rsid w:val="0026624C"/>
    <w:rsid w:val="00266B6E"/>
    <w:rsid w:val="00270029"/>
    <w:rsid w:val="00280AA4"/>
    <w:rsid w:val="00286D18"/>
    <w:rsid w:val="002959A8"/>
    <w:rsid w:val="002B6336"/>
    <w:rsid w:val="002C15D2"/>
    <w:rsid w:val="002C365E"/>
    <w:rsid w:val="002C4D98"/>
    <w:rsid w:val="002E1A2C"/>
    <w:rsid w:val="002E58A4"/>
    <w:rsid w:val="002F54E8"/>
    <w:rsid w:val="00303670"/>
    <w:rsid w:val="00304FFA"/>
    <w:rsid w:val="00312682"/>
    <w:rsid w:val="00312BF4"/>
    <w:rsid w:val="00332C34"/>
    <w:rsid w:val="00333B58"/>
    <w:rsid w:val="00335989"/>
    <w:rsid w:val="00337BAB"/>
    <w:rsid w:val="0034003C"/>
    <w:rsid w:val="0034728D"/>
    <w:rsid w:val="0034766A"/>
    <w:rsid w:val="00352FB6"/>
    <w:rsid w:val="00356BF5"/>
    <w:rsid w:val="00361EC5"/>
    <w:rsid w:val="00362FD6"/>
    <w:rsid w:val="00365E32"/>
    <w:rsid w:val="00391F87"/>
    <w:rsid w:val="0039613D"/>
    <w:rsid w:val="00396FC5"/>
    <w:rsid w:val="003A2F4C"/>
    <w:rsid w:val="003B0D36"/>
    <w:rsid w:val="003B3932"/>
    <w:rsid w:val="003B3A4C"/>
    <w:rsid w:val="003C3ECD"/>
    <w:rsid w:val="003C6B53"/>
    <w:rsid w:val="003C6D15"/>
    <w:rsid w:val="003D49B0"/>
    <w:rsid w:val="003E260E"/>
    <w:rsid w:val="003E52EA"/>
    <w:rsid w:val="003F16D3"/>
    <w:rsid w:val="003F4EC6"/>
    <w:rsid w:val="00400DCB"/>
    <w:rsid w:val="004051CD"/>
    <w:rsid w:val="00414C24"/>
    <w:rsid w:val="00420CF2"/>
    <w:rsid w:val="00430260"/>
    <w:rsid w:val="0043448D"/>
    <w:rsid w:val="00435D14"/>
    <w:rsid w:val="00442C49"/>
    <w:rsid w:val="004436BD"/>
    <w:rsid w:val="00443824"/>
    <w:rsid w:val="00445886"/>
    <w:rsid w:val="00446BE1"/>
    <w:rsid w:val="00447A1F"/>
    <w:rsid w:val="00457FA2"/>
    <w:rsid w:val="00474476"/>
    <w:rsid w:val="00481F3E"/>
    <w:rsid w:val="004825B0"/>
    <w:rsid w:val="00484047"/>
    <w:rsid w:val="004859EC"/>
    <w:rsid w:val="004868F5"/>
    <w:rsid w:val="00487558"/>
    <w:rsid w:val="00490348"/>
    <w:rsid w:val="00490FDA"/>
    <w:rsid w:val="00495D59"/>
    <w:rsid w:val="004A6EDF"/>
    <w:rsid w:val="004A7EBA"/>
    <w:rsid w:val="004B6360"/>
    <w:rsid w:val="004C43EE"/>
    <w:rsid w:val="004C531B"/>
    <w:rsid w:val="004C6281"/>
    <w:rsid w:val="004E0683"/>
    <w:rsid w:val="004E2A71"/>
    <w:rsid w:val="004F1303"/>
    <w:rsid w:val="004F6B95"/>
    <w:rsid w:val="0050274F"/>
    <w:rsid w:val="0050627E"/>
    <w:rsid w:val="00517C9A"/>
    <w:rsid w:val="005244A4"/>
    <w:rsid w:val="00533EE1"/>
    <w:rsid w:val="00534DE4"/>
    <w:rsid w:val="00537174"/>
    <w:rsid w:val="00542058"/>
    <w:rsid w:val="00542431"/>
    <w:rsid w:val="00551F4B"/>
    <w:rsid w:val="0055523A"/>
    <w:rsid w:val="005567D0"/>
    <w:rsid w:val="00556EFE"/>
    <w:rsid w:val="00571AF2"/>
    <w:rsid w:val="00576630"/>
    <w:rsid w:val="005774DD"/>
    <w:rsid w:val="005824B1"/>
    <w:rsid w:val="00582738"/>
    <w:rsid w:val="00584A57"/>
    <w:rsid w:val="00587319"/>
    <w:rsid w:val="00587323"/>
    <w:rsid w:val="0059025D"/>
    <w:rsid w:val="00591271"/>
    <w:rsid w:val="00591F8A"/>
    <w:rsid w:val="005924EB"/>
    <w:rsid w:val="00593158"/>
    <w:rsid w:val="00596D9D"/>
    <w:rsid w:val="00596E88"/>
    <w:rsid w:val="00596E94"/>
    <w:rsid w:val="005A5607"/>
    <w:rsid w:val="005A79F9"/>
    <w:rsid w:val="005B2574"/>
    <w:rsid w:val="005B5074"/>
    <w:rsid w:val="005D0F0F"/>
    <w:rsid w:val="005D4B9F"/>
    <w:rsid w:val="005D7EAC"/>
    <w:rsid w:val="005E04D8"/>
    <w:rsid w:val="005E1CB4"/>
    <w:rsid w:val="005E7D30"/>
    <w:rsid w:val="005F10E9"/>
    <w:rsid w:val="005F43CE"/>
    <w:rsid w:val="005F7396"/>
    <w:rsid w:val="006053ED"/>
    <w:rsid w:val="00607848"/>
    <w:rsid w:val="00613DEF"/>
    <w:rsid w:val="00613F87"/>
    <w:rsid w:val="00623C87"/>
    <w:rsid w:val="00624D7D"/>
    <w:rsid w:val="006310DD"/>
    <w:rsid w:val="00632039"/>
    <w:rsid w:val="006420C9"/>
    <w:rsid w:val="006654C1"/>
    <w:rsid w:val="006777E8"/>
    <w:rsid w:val="00677CFB"/>
    <w:rsid w:val="00692969"/>
    <w:rsid w:val="00695406"/>
    <w:rsid w:val="0069632C"/>
    <w:rsid w:val="0069759E"/>
    <w:rsid w:val="006A4858"/>
    <w:rsid w:val="006A4C7D"/>
    <w:rsid w:val="006B3877"/>
    <w:rsid w:val="006C21AA"/>
    <w:rsid w:val="006C30F4"/>
    <w:rsid w:val="006C4BC8"/>
    <w:rsid w:val="006C521F"/>
    <w:rsid w:val="006C71A1"/>
    <w:rsid w:val="006D3AAD"/>
    <w:rsid w:val="006D47CD"/>
    <w:rsid w:val="006D78E7"/>
    <w:rsid w:val="006E7698"/>
    <w:rsid w:val="006F42B4"/>
    <w:rsid w:val="007016A7"/>
    <w:rsid w:val="00714645"/>
    <w:rsid w:val="007156F0"/>
    <w:rsid w:val="00724D5F"/>
    <w:rsid w:val="00725990"/>
    <w:rsid w:val="00741113"/>
    <w:rsid w:val="00743EE6"/>
    <w:rsid w:val="00745297"/>
    <w:rsid w:val="00746EF0"/>
    <w:rsid w:val="0075051D"/>
    <w:rsid w:val="00755104"/>
    <w:rsid w:val="00761A0B"/>
    <w:rsid w:val="007734A5"/>
    <w:rsid w:val="0077476E"/>
    <w:rsid w:val="00785ED3"/>
    <w:rsid w:val="0078668B"/>
    <w:rsid w:val="00786C2B"/>
    <w:rsid w:val="007B7247"/>
    <w:rsid w:val="007D382D"/>
    <w:rsid w:val="007E66DF"/>
    <w:rsid w:val="007F0267"/>
    <w:rsid w:val="007F0E3F"/>
    <w:rsid w:val="007F288F"/>
    <w:rsid w:val="007F7E66"/>
    <w:rsid w:val="00802D5F"/>
    <w:rsid w:val="00805E7B"/>
    <w:rsid w:val="00817EA5"/>
    <w:rsid w:val="008225E6"/>
    <w:rsid w:val="0082291A"/>
    <w:rsid w:val="0083046C"/>
    <w:rsid w:val="00844849"/>
    <w:rsid w:val="00846CE3"/>
    <w:rsid w:val="00851953"/>
    <w:rsid w:val="0085360C"/>
    <w:rsid w:val="00855577"/>
    <w:rsid w:val="008568E5"/>
    <w:rsid w:val="008571AC"/>
    <w:rsid w:val="008635FB"/>
    <w:rsid w:val="008A1A04"/>
    <w:rsid w:val="008C3A97"/>
    <w:rsid w:val="008D0AF6"/>
    <w:rsid w:val="008D3219"/>
    <w:rsid w:val="008D3315"/>
    <w:rsid w:val="008E2D73"/>
    <w:rsid w:val="008E4D45"/>
    <w:rsid w:val="008F582C"/>
    <w:rsid w:val="00903847"/>
    <w:rsid w:val="00912EC0"/>
    <w:rsid w:val="00916314"/>
    <w:rsid w:val="009220A3"/>
    <w:rsid w:val="009316F0"/>
    <w:rsid w:val="009367C5"/>
    <w:rsid w:val="00942A45"/>
    <w:rsid w:val="009432AA"/>
    <w:rsid w:val="009526A6"/>
    <w:rsid w:val="0095278C"/>
    <w:rsid w:val="009822E5"/>
    <w:rsid w:val="00991238"/>
    <w:rsid w:val="0099556B"/>
    <w:rsid w:val="009A20FD"/>
    <w:rsid w:val="009A5E8C"/>
    <w:rsid w:val="009A741B"/>
    <w:rsid w:val="009B716D"/>
    <w:rsid w:val="009D3CE9"/>
    <w:rsid w:val="009D5A61"/>
    <w:rsid w:val="009E0CD3"/>
    <w:rsid w:val="009E53A5"/>
    <w:rsid w:val="009F1BA7"/>
    <w:rsid w:val="009F2C52"/>
    <w:rsid w:val="00A025BF"/>
    <w:rsid w:val="00A07CD7"/>
    <w:rsid w:val="00A11660"/>
    <w:rsid w:val="00A13852"/>
    <w:rsid w:val="00A13DBF"/>
    <w:rsid w:val="00A15D7E"/>
    <w:rsid w:val="00A22613"/>
    <w:rsid w:val="00A35DB3"/>
    <w:rsid w:val="00A35EE3"/>
    <w:rsid w:val="00A37A3C"/>
    <w:rsid w:val="00A4118B"/>
    <w:rsid w:val="00A52A62"/>
    <w:rsid w:val="00A539ED"/>
    <w:rsid w:val="00A55757"/>
    <w:rsid w:val="00A62608"/>
    <w:rsid w:val="00A65E60"/>
    <w:rsid w:val="00A661F6"/>
    <w:rsid w:val="00A7023E"/>
    <w:rsid w:val="00A71193"/>
    <w:rsid w:val="00A82A87"/>
    <w:rsid w:val="00A84647"/>
    <w:rsid w:val="00A849D4"/>
    <w:rsid w:val="00A9031F"/>
    <w:rsid w:val="00A96FB8"/>
    <w:rsid w:val="00AA3070"/>
    <w:rsid w:val="00AA67B2"/>
    <w:rsid w:val="00AB2BEB"/>
    <w:rsid w:val="00AB5955"/>
    <w:rsid w:val="00AC0B72"/>
    <w:rsid w:val="00AC1662"/>
    <w:rsid w:val="00AC27F9"/>
    <w:rsid w:val="00AD2EAF"/>
    <w:rsid w:val="00AD33C8"/>
    <w:rsid w:val="00AD6AA4"/>
    <w:rsid w:val="00AE353A"/>
    <w:rsid w:val="00AE5E91"/>
    <w:rsid w:val="00AF19E4"/>
    <w:rsid w:val="00AF497F"/>
    <w:rsid w:val="00AF61D8"/>
    <w:rsid w:val="00B04B3D"/>
    <w:rsid w:val="00B05AFA"/>
    <w:rsid w:val="00B11F58"/>
    <w:rsid w:val="00B21E03"/>
    <w:rsid w:val="00B317DC"/>
    <w:rsid w:val="00B3333F"/>
    <w:rsid w:val="00B34C40"/>
    <w:rsid w:val="00B45867"/>
    <w:rsid w:val="00B56E50"/>
    <w:rsid w:val="00B624D6"/>
    <w:rsid w:val="00B70F81"/>
    <w:rsid w:val="00B719EE"/>
    <w:rsid w:val="00B74096"/>
    <w:rsid w:val="00B75048"/>
    <w:rsid w:val="00B839DF"/>
    <w:rsid w:val="00B9091F"/>
    <w:rsid w:val="00B94864"/>
    <w:rsid w:val="00B95FB5"/>
    <w:rsid w:val="00BA299C"/>
    <w:rsid w:val="00BB6720"/>
    <w:rsid w:val="00BC6C5B"/>
    <w:rsid w:val="00BC7F35"/>
    <w:rsid w:val="00BD1C13"/>
    <w:rsid w:val="00BD2E50"/>
    <w:rsid w:val="00BD6A30"/>
    <w:rsid w:val="00BD7BD2"/>
    <w:rsid w:val="00BD7F7E"/>
    <w:rsid w:val="00BF19AE"/>
    <w:rsid w:val="00BF2AEF"/>
    <w:rsid w:val="00BF66E0"/>
    <w:rsid w:val="00C13F11"/>
    <w:rsid w:val="00C140EB"/>
    <w:rsid w:val="00C259DA"/>
    <w:rsid w:val="00C2652B"/>
    <w:rsid w:val="00C4018E"/>
    <w:rsid w:val="00C558CB"/>
    <w:rsid w:val="00C627B5"/>
    <w:rsid w:val="00C63DB3"/>
    <w:rsid w:val="00C93FEC"/>
    <w:rsid w:val="00C9584B"/>
    <w:rsid w:val="00C96248"/>
    <w:rsid w:val="00CA293F"/>
    <w:rsid w:val="00CB1A28"/>
    <w:rsid w:val="00CB46E0"/>
    <w:rsid w:val="00CD1096"/>
    <w:rsid w:val="00CE1E6D"/>
    <w:rsid w:val="00CE548A"/>
    <w:rsid w:val="00CF2249"/>
    <w:rsid w:val="00D00045"/>
    <w:rsid w:val="00D028EB"/>
    <w:rsid w:val="00D03051"/>
    <w:rsid w:val="00D034CF"/>
    <w:rsid w:val="00D053B6"/>
    <w:rsid w:val="00D054AE"/>
    <w:rsid w:val="00D15374"/>
    <w:rsid w:val="00D224A2"/>
    <w:rsid w:val="00D268AA"/>
    <w:rsid w:val="00D27BF5"/>
    <w:rsid w:val="00D30496"/>
    <w:rsid w:val="00D3278F"/>
    <w:rsid w:val="00D35AEF"/>
    <w:rsid w:val="00D36CBB"/>
    <w:rsid w:val="00D4319E"/>
    <w:rsid w:val="00D51962"/>
    <w:rsid w:val="00D57DA3"/>
    <w:rsid w:val="00D7471E"/>
    <w:rsid w:val="00D75063"/>
    <w:rsid w:val="00D769B9"/>
    <w:rsid w:val="00D9272C"/>
    <w:rsid w:val="00DB3DEE"/>
    <w:rsid w:val="00DC0B32"/>
    <w:rsid w:val="00DC246B"/>
    <w:rsid w:val="00DC4F33"/>
    <w:rsid w:val="00DE0652"/>
    <w:rsid w:val="00DE5AFE"/>
    <w:rsid w:val="00DE75A8"/>
    <w:rsid w:val="00DF7B64"/>
    <w:rsid w:val="00E109BD"/>
    <w:rsid w:val="00E3200A"/>
    <w:rsid w:val="00E32802"/>
    <w:rsid w:val="00E33300"/>
    <w:rsid w:val="00E4138C"/>
    <w:rsid w:val="00E45675"/>
    <w:rsid w:val="00E52056"/>
    <w:rsid w:val="00E53BCC"/>
    <w:rsid w:val="00E66956"/>
    <w:rsid w:val="00E70059"/>
    <w:rsid w:val="00E92EEE"/>
    <w:rsid w:val="00E955EB"/>
    <w:rsid w:val="00E95B03"/>
    <w:rsid w:val="00EA17FD"/>
    <w:rsid w:val="00EA7B50"/>
    <w:rsid w:val="00EB2401"/>
    <w:rsid w:val="00EB3B08"/>
    <w:rsid w:val="00EB6872"/>
    <w:rsid w:val="00EC12C0"/>
    <w:rsid w:val="00EC578A"/>
    <w:rsid w:val="00ED1FA3"/>
    <w:rsid w:val="00EE099D"/>
    <w:rsid w:val="00EE3DEE"/>
    <w:rsid w:val="00EE73E3"/>
    <w:rsid w:val="00EF74D9"/>
    <w:rsid w:val="00F235A5"/>
    <w:rsid w:val="00F25758"/>
    <w:rsid w:val="00F313CE"/>
    <w:rsid w:val="00F35455"/>
    <w:rsid w:val="00F506FA"/>
    <w:rsid w:val="00F663E8"/>
    <w:rsid w:val="00F676B5"/>
    <w:rsid w:val="00F7195C"/>
    <w:rsid w:val="00F73593"/>
    <w:rsid w:val="00F7445B"/>
    <w:rsid w:val="00F853C8"/>
    <w:rsid w:val="00F94103"/>
    <w:rsid w:val="00FA37A1"/>
    <w:rsid w:val="00FA4070"/>
    <w:rsid w:val="00FB2B0A"/>
    <w:rsid w:val="00FB6529"/>
    <w:rsid w:val="00FC1C7B"/>
    <w:rsid w:val="00FC4860"/>
    <w:rsid w:val="00FC5A19"/>
    <w:rsid w:val="00FD1AA5"/>
    <w:rsid w:val="00FE5FF3"/>
    <w:rsid w:val="017D5B5D"/>
    <w:rsid w:val="018964C4"/>
    <w:rsid w:val="018A546E"/>
    <w:rsid w:val="02501755"/>
    <w:rsid w:val="02D45F64"/>
    <w:rsid w:val="031D625E"/>
    <w:rsid w:val="03BC4422"/>
    <w:rsid w:val="04D37589"/>
    <w:rsid w:val="04F84D6A"/>
    <w:rsid w:val="090C355C"/>
    <w:rsid w:val="09725346"/>
    <w:rsid w:val="0B81694F"/>
    <w:rsid w:val="0BE35DAC"/>
    <w:rsid w:val="0CD9188B"/>
    <w:rsid w:val="0CF0144C"/>
    <w:rsid w:val="0D8D0F09"/>
    <w:rsid w:val="0ED46221"/>
    <w:rsid w:val="10036CD1"/>
    <w:rsid w:val="10713C95"/>
    <w:rsid w:val="10D05F7B"/>
    <w:rsid w:val="10D74B47"/>
    <w:rsid w:val="10D940D5"/>
    <w:rsid w:val="110E464B"/>
    <w:rsid w:val="1193257A"/>
    <w:rsid w:val="12350C8C"/>
    <w:rsid w:val="13040091"/>
    <w:rsid w:val="137813C5"/>
    <w:rsid w:val="13F00463"/>
    <w:rsid w:val="1597537E"/>
    <w:rsid w:val="160D169F"/>
    <w:rsid w:val="16351E52"/>
    <w:rsid w:val="17A445EA"/>
    <w:rsid w:val="1A152B13"/>
    <w:rsid w:val="1ACF1D70"/>
    <w:rsid w:val="1B2E4AB6"/>
    <w:rsid w:val="1BA05E19"/>
    <w:rsid w:val="1BC750D9"/>
    <w:rsid w:val="1BCA4DEA"/>
    <w:rsid w:val="1CBC0CA4"/>
    <w:rsid w:val="1D531285"/>
    <w:rsid w:val="1D7741F0"/>
    <w:rsid w:val="1DD95CC8"/>
    <w:rsid w:val="1DE00529"/>
    <w:rsid w:val="1EE149B9"/>
    <w:rsid w:val="1FCC23FD"/>
    <w:rsid w:val="20803CC9"/>
    <w:rsid w:val="20F843D4"/>
    <w:rsid w:val="213C67D0"/>
    <w:rsid w:val="22312968"/>
    <w:rsid w:val="23692225"/>
    <w:rsid w:val="23986BA8"/>
    <w:rsid w:val="23B1534D"/>
    <w:rsid w:val="247B3E83"/>
    <w:rsid w:val="24D112D4"/>
    <w:rsid w:val="280156F1"/>
    <w:rsid w:val="28BB5EEC"/>
    <w:rsid w:val="294B6A1B"/>
    <w:rsid w:val="29836736"/>
    <w:rsid w:val="2A3D1CDF"/>
    <w:rsid w:val="2C407176"/>
    <w:rsid w:val="2C43365D"/>
    <w:rsid w:val="2D4F6EFD"/>
    <w:rsid w:val="2DEF0837"/>
    <w:rsid w:val="2E2045B6"/>
    <w:rsid w:val="3057035C"/>
    <w:rsid w:val="319B4E07"/>
    <w:rsid w:val="32717D49"/>
    <w:rsid w:val="327A16BC"/>
    <w:rsid w:val="32E40F88"/>
    <w:rsid w:val="33EF560A"/>
    <w:rsid w:val="34D83195"/>
    <w:rsid w:val="35E1749E"/>
    <w:rsid w:val="36DE68E2"/>
    <w:rsid w:val="3725105B"/>
    <w:rsid w:val="374E11F5"/>
    <w:rsid w:val="378E6657"/>
    <w:rsid w:val="37AE4516"/>
    <w:rsid w:val="382C5A31"/>
    <w:rsid w:val="38466AA7"/>
    <w:rsid w:val="38CF4A13"/>
    <w:rsid w:val="38DC44C0"/>
    <w:rsid w:val="39450ECB"/>
    <w:rsid w:val="39B148FC"/>
    <w:rsid w:val="39C03593"/>
    <w:rsid w:val="39ED33C5"/>
    <w:rsid w:val="3B325DA4"/>
    <w:rsid w:val="3B413488"/>
    <w:rsid w:val="3CF9593B"/>
    <w:rsid w:val="3D5634AC"/>
    <w:rsid w:val="3DAC47F0"/>
    <w:rsid w:val="3EAF4F44"/>
    <w:rsid w:val="3F4312D4"/>
    <w:rsid w:val="40497C0B"/>
    <w:rsid w:val="412F4ADB"/>
    <w:rsid w:val="41972106"/>
    <w:rsid w:val="43026B0B"/>
    <w:rsid w:val="437255D6"/>
    <w:rsid w:val="4385378C"/>
    <w:rsid w:val="439472FC"/>
    <w:rsid w:val="43B72AD8"/>
    <w:rsid w:val="446934C7"/>
    <w:rsid w:val="44B87D04"/>
    <w:rsid w:val="45584756"/>
    <w:rsid w:val="45697FEB"/>
    <w:rsid w:val="45983DA9"/>
    <w:rsid w:val="45BE49A8"/>
    <w:rsid w:val="465F0511"/>
    <w:rsid w:val="46B773CF"/>
    <w:rsid w:val="47994953"/>
    <w:rsid w:val="47D63703"/>
    <w:rsid w:val="47F821C6"/>
    <w:rsid w:val="48696DC4"/>
    <w:rsid w:val="48F253F7"/>
    <w:rsid w:val="4B76442B"/>
    <w:rsid w:val="4DF300E3"/>
    <w:rsid w:val="4F1B0D3B"/>
    <w:rsid w:val="4F410D8B"/>
    <w:rsid w:val="4FD54BD7"/>
    <w:rsid w:val="4FF0731B"/>
    <w:rsid w:val="5037646C"/>
    <w:rsid w:val="50805A11"/>
    <w:rsid w:val="509E21A7"/>
    <w:rsid w:val="50FA37BE"/>
    <w:rsid w:val="51763488"/>
    <w:rsid w:val="51AB1AE9"/>
    <w:rsid w:val="52597853"/>
    <w:rsid w:val="5278477C"/>
    <w:rsid w:val="5293068B"/>
    <w:rsid w:val="52CE1DAA"/>
    <w:rsid w:val="53612411"/>
    <w:rsid w:val="54246E44"/>
    <w:rsid w:val="542D76C3"/>
    <w:rsid w:val="558013AA"/>
    <w:rsid w:val="58854A82"/>
    <w:rsid w:val="59616A57"/>
    <w:rsid w:val="59C20618"/>
    <w:rsid w:val="59F936FF"/>
    <w:rsid w:val="5AE433A0"/>
    <w:rsid w:val="5B392306"/>
    <w:rsid w:val="5B673FCA"/>
    <w:rsid w:val="5B796234"/>
    <w:rsid w:val="5C781F43"/>
    <w:rsid w:val="5D370333"/>
    <w:rsid w:val="5E0B52B6"/>
    <w:rsid w:val="5E390074"/>
    <w:rsid w:val="5EB77CAA"/>
    <w:rsid w:val="60F872D1"/>
    <w:rsid w:val="61A80B65"/>
    <w:rsid w:val="62D857E5"/>
    <w:rsid w:val="64C55943"/>
    <w:rsid w:val="65073893"/>
    <w:rsid w:val="66341CC4"/>
    <w:rsid w:val="664D33E7"/>
    <w:rsid w:val="666B39D5"/>
    <w:rsid w:val="677238A4"/>
    <w:rsid w:val="68653982"/>
    <w:rsid w:val="68B520B8"/>
    <w:rsid w:val="68BC3135"/>
    <w:rsid w:val="69D5253C"/>
    <w:rsid w:val="6B44366A"/>
    <w:rsid w:val="6B6F018F"/>
    <w:rsid w:val="6BEC2F14"/>
    <w:rsid w:val="6CC6022B"/>
    <w:rsid w:val="6D563152"/>
    <w:rsid w:val="6F775864"/>
    <w:rsid w:val="6F9248F7"/>
    <w:rsid w:val="6FC9318C"/>
    <w:rsid w:val="70DC412C"/>
    <w:rsid w:val="71327FEE"/>
    <w:rsid w:val="72143475"/>
    <w:rsid w:val="72CB7215"/>
    <w:rsid w:val="730E4A21"/>
    <w:rsid w:val="734D342D"/>
    <w:rsid w:val="736A1C22"/>
    <w:rsid w:val="74247E87"/>
    <w:rsid w:val="74895648"/>
    <w:rsid w:val="749E2D88"/>
    <w:rsid w:val="74AE3AD6"/>
    <w:rsid w:val="756B4633"/>
    <w:rsid w:val="76783D7F"/>
    <w:rsid w:val="76B75890"/>
    <w:rsid w:val="77CA6CAD"/>
    <w:rsid w:val="78350136"/>
    <w:rsid w:val="79685A0B"/>
    <w:rsid w:val="7B1260CC"/>
    <w:rsid w:val="7B5573A2"/>
    <w:rsid w:val="7C756B24"/>
    <w:rsid w:val="7D512EED"/>
    <w:rsid w:val="7DED1B13"/>
    <w:rsid w:val="7F4A52A1"/>
    <w:rsid w:val="7F5B6B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rPr>
      <w:sz w:val="24"/>
    </w:rPr>
  </w:style>
  <w:style w:type="character" w:customStyle="1" w:styleId="8">
    <w:name w:val="title_td1"/>
    <w:basedOn w:val="7"/>
    <w:autoRedefine/>
    <w:qFormat/>
    <w:uiPriority w:val="0"/>
    <w:rPr>
      <w:rFonts w:hint="default" w:ascii="Tahoma" w:hAnsi="Tahoma" w:cs="Tahoma"/>
      <w:b/>
      <w:bCs/>
      <w:color w:val="FF2200"/>
      <w:sz w:val="20"/>
      <w:szCs w:val="20"/>
    </w:rPr>
  </w:style>
  <w:style w:type="character" w:customStyle="1" w:styleId="9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autoRedefine/>
    <w:semiHidden/>
    <w:qFormat/>
    <w:uiPriority w:val="99"/>
    <w:rPr>
      <w:sz w:val="18"/>
      <w:szCs w:val="18"/>
    </w:rPr>
  </w:style>
  <w:style w:type="paragraph" w:styleId="12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6.xml"/><Relationship Id="rId8" Type="http://schemas.openxmlformats.org/officeDocument/2006/relationships/chart" Target="charts/chart5.xml"/><Relationship Id="rId7" Type="http://schemas.openxmlformats.org/officeDocument/2006/relationships/chart" Target="charts/chart4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chart" Target="charts/chart7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Work\&#32479;&#35745;&#20844;&#25253;\2021\2021&#24180;&#20844;&#25253;&#29992;&#34920;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../embeddings/oleObject1.bin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D:\Work\&#32479;&#35745;&#20844;&#25253;\2022&#24180;&#20844;&#25253;&#29992;&#34920;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file:///D:\Work\&#32479;&#35745;&#20844;&#25253;\2022&#24180;&#20844;&#25253;&#29992;&#34920;.xlsx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7.xml"/><Relationship Id="rId1" Type="http://schemas.openxmlformats.org/officeDocument/2006/relationships/oleObject" Target="file:///D:\Work\&#32479;&#35745;&#20844;&#25253;\2022&#24180;&#20844;&#25253;&#29992;&#34920;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6.xml"/><Relationship Id="rId2" Type="http://schemas.openxmlformats.org/officeDocument/2006/relationships/themeOverride" Target="../theme/themeOverride1.xml"/><Relationship Id="rId1" Type="http://schemas.openxmlformats.org/officeDocument/2006/relationships/oleObject" Target="file:///D:\Work\&#32479;&#35745;&#20844;&#25253;\2022&#24180;&#20844;&#25253;&#29992;&#34920;.xlsx" TargetMode="Externa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oleObject" Target="file:///D:\Work\&#32479;&#35745;&#20844;&#25253;\2022&#24180;&#20844;&#25253;&#29992;&#3492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7919147099442"/>
          <c:y val="0.143773495305752"/>
          <c:w val="0.817315020331398"/>
          <c:h val="0.760787786612248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-0.00192631832410306"/>
                  <c:y val="0.024528301886792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00140056022408964"/>
                  <c:y val="-0.019249806189993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00140056022408964"/>
                  <c:y val="0.0073170731707316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[2021年公报用表.xlsx]Sheet1!$J$12:$J$17</c:f>
              <c:strCache>
                <c:ptCount val="6"/>
                <c:pt idx="0">
                  <c:v>2018年</c:v>
                </c:pt>
                <c:pt idx="1">
                  <c:v>2019年</c:v>
                </c:pt>
                <c:pt idx="2">
                  <c:v>2020年</c:v>
                </c:pt>
                <c:pt idx="3">
                  <c:v>2021年</c:v>
                </c:pt>
                <c:pt idx="4">
                  <c:v>2022年</c:v>
                </c:pt>
                <c:pt idx="5">
                  <c:v>2023年</c:v>
                </c:pt>
              </c:strCache>
            </c:strRef>
          </c:cat>
          <c:val>
            <c:numRef>
              <c:f>[2021年公报用表.xlsx]Sheet1!$K$12:$K$17</c:f>
              <c:numCache>
                <c:formatCode>General</c:formatCode>
                <c:ptCount val="6"/>
                <c:pt idx="0">
                  <c:v>3159112</c:v>
                </c:pt>
                <c:pt idx="1">
                  <c:v>3384084</c:v>
                </c:pt>
                <c:pt idx="2">
                  <c:v>3524822</c:v>
                </c:pt>
                <c:pt idx="3">
                  <c:v>4207112</c:v>
                </c:pt>
                <c:pt idx="4">
                  <c:v>4252681</c:v>
                </c:pt>
                <c:pt idx="5">
                  <c:v>4310082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58279168"/>
        <c:axId val="158280704"/>
      </c:barChart>
      <c:lineChart>
        <c:grouping val="standard"/>
        <c:varyColors val="0"/>
        <c:ser>
          <c:idx val="1"/>
          <c:order val="1"/>
          <c:dLbls>
            <c:dLbl>
              <c:idx val="0"/>
              <c:layout>
                <c:manualLayout>
                  <c:x val="-0.0360360300212344"/>
                  <c:y val="0.055419722901385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0360360300212344"/>
                  <c:y val="-0.039119804400978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0364145658263305"/>
                  <c:y val="0.119512195121951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0.00458021647736515"/>
                  <c:y val="0.016906195956825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0790314613838977"/>
                  <c:y val="0.0029770417185649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[2021年公报用表.xlsx]Sheet1!$J$12:$J$17</c:f>
              <c:strCache>
                <c:ptCount val="6"/>
                <c:pt idx="0">
                  <c:v>2018年</c:v>
                </c:pt>
                <c:pt idx="1">
                  <c:v>2019年</c:v>
                </c:pt>
                <c:pt idx="2">
                  <c:v>2020年</c:v>
                </c:pt>
                <c:pt idx="3">
                  <c:v>2021年</c:v>
                </c:pt>
                <c:pt idx="4">
                  <c:v>2022年</c:v>
                </c:pt>
                <c:pt idx="5">
                  <c:v>2023年</c:v>
                </c:pt>
              </c:strCache>
            </c:strRef>
          </c:cat>
          <c:val>
            <c:numRef>
              <c:f>[2021年公报用表.xlsx]Sheet1!$L$12:$L$17</c:f>
              <c:numCache>
                <c:formatCode>0.0_ </c:formatCode>
                <c:ptCount val="6"/>
                <c:pt idx="0">
                  <c:v>14.4</c:v>
                </c:pt>
                <c:pt idx="1" c:formatCode="General">
                  <c:v>7.6</c:v>
                </c:pt>
                <c:pt idx="2" c:formatCode="General">
                  <c:v>6.1</c:v>
                </c:pt>
                <c:pt idx="3">
                  <c:v>8</c:v>
                </c:pt>
                <c:pt idx="4" c:formatCode="General">
                  <c:v>-2.1</c:v>
                </c:pt>
                <c:pt idx="5" c:formatCode="General">
                  <c:v>3.5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78542848"/>
        <c:axId val="178541312"/>
      </c:lineChart>
      <c:catAx>
        <c:axId val="1582791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58280704"/>
        <c:crosses val="autoZero"/>
        <c:auto val="1"/>
        <c:lblAlgn val="ctr"/>
        <c:lblOffset val="100"/>
        <c:noMultiLvlLbl val="0"/>
      </c:catAx>
      <c:valAx>
        <c:axId val="1582807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58279168"/>
        <c:crosses val="autoZero"/>
        <c:crossBetween val="between"/>
      </c:valAx>
      <c:catAx>
        <c:axId val="17854284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78541312"/>
        <c:crosses val="autoZero"/>
        <c:auto val="1"/>
        <c:lblAlgn val="ctr"/>
        <c:lblOffset val="100"/>
        <c:noMultiLvlLbl val="0"/>
      </c:catAx>
      <c:valAx>
        <c:axId val="178541312"/>
        <c:scaling>
          <c:orientation val="minMax"/>
        </c:scaling>
        <c:delete val="0"/>
        <c:axPos val="r"/>
        <c:numFmt formatCode="0.0_ 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78542848"/>
        <c:crosses val="max"/>
        <c:crossBetween val="between"/>
      </c:valAx>
    </c:plotArea>
    <c:plotVisOnly val="1"/>
    <c:dispBlanksAs val="gap"/>
    <c:showDLblsOverMax val="0"/>
    <c:extLst>
      <c:ext uri="{0b15fc19-7d7d-44ad-8c2d-2c3a37ce22c3}">
        <chartProps xmlns="https://web.wps.cn/et/2018/main" chartId="{60ec4f1c-9ed3-479b-b40e-cb57c2929f8b}"/>
      </c:ext>
    </c:extLst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7919147099442"/>
          <c:y val="0.143773495305752"/>
          <c:w val="0.817315020331398"/>
          <c:h val="0.760787786612248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2"/>
              <c:layout>
                <c:manualLayout>
                  <c:x val="0"/>
                  <c:y val="0.010018308687023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0143106188297616"/>
                  <c:y val="0.014634146341463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[2021年公报用表.xlsx]Sheet1!$K$41:$K$46</c:f>
              <c:strCache>
                <c:ptCount val="6"/>
                <c:pt idx="0">
                  <c:v>2018年</c:v>
                </c:pt>
                <c:pt idx="1">
                  <c:v>2019年</c:v>
                </c:pt>
                <c:pt idx="2">
                  <c:v>2020年</c:v>
                </c:pt>
                <c:pt idx="3">
                  <c:v>2021年</c:v>
                </c:pt>
                <c:pt idx="4">
                  <c:v>2022年</c:v>
                </c:pt>
                <c:pt idx="5">
                  <c:v>2023年</c:v>
                </c:pt>
              </c:strCache>
            </c:strRef>
          </c:cat>
          <c:val>
            <c:numRef>
              <c:f>[2021年公报用表.xlsx]Sheet1!$L$41:$L$46</c:f>
              <c:numCache>
                <c:formatCode>General</c:formatCode>
                <c:ptCount val="6"/>
                <c:pt idx="0">
                  <c:v>82898</c:v>
                </c:pt>
                <c:pt idx="1">
                  <c:v>94848</c:v>
                </c:pt>
                <c:pt idx="2">
                  <c:v>95058</c:v>
                </c:pt>
                <c:pt idx="3">
                  <c:v>140243</c:v>
                </c:pt>
                <c:pt idx="4">
                  <c:v>157617</c:v>
                </c:pt>
                <c:pt idx="5">
                  <c:v>169358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78610560"/>
        <c:axId val="178612096"/>
      </c:barChart>
      <c:lineChart>
        <c:grouping val="standard"/>
        <c:varyColors val="0"/>
        <c:ser>
          <c:idx val="1"/>
          <c:order val="1"/>
          <c:dLbls>
            <c:dLbl>
              <c:idx val="0"/>
              <c:layout>
                <c:manualLayout>
                  <c:x val="0.00911205569993102"/>
                  <c:y val="0.036921594735783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00446167429167666"/>
                  <c:y val="-0.0099671824729698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0141686413007015"/>
                  <c:y val="-0.048148652672283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0359681957137544"/>
                  <c:y val="-0.036585365853658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0.0100752148619825"/>
                  <c:y val="-0.0481998030441471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0.00366617958847581"/>
                  <c:y val="0.00401630399827321"/>
                </c:manualLayout>
              </c:layout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2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7.</a:t>
                    </a:r>
                    <a:r>
                      <a:rPr lang="en-US" altLang="zh-CN"/>
                      <a:t>4</a:t>
                    </a:r>
                    <a:endParaRPr lang="en-US" altLang="zh-CN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[2021年公报用表.xlsx]Sheet1!$K$41:$K$46</c:f>
              <c:strCache>
                <c:ptCount val="6"/>
                <c:pt idx="0">
                  <c:v>2018年</c:v>
                </c:pt>
                <c:pt idx="1">
                  <c:v>2019年</c:v>
                </c:pt>
                <c:pt idx="2">
                  <c:v>2020年</c:v>
                </c:pt>
                <c:pt idx="3">
                  <c:v>2021年</c:v>
                </c:pt>
                <c:pt idx="4">
                  <c:v>2022年</c:v>
                </c:pt>
                <c:pt idx="5">
                  <c:v>2023年</c:v>
                </c:pt>
              </c:strCache>
            </c:strRef>
          </c:cat>
          <c:val>
            <c:numRef>
              <c:f>[2021年公报用表.xlsx]Sheet1!$M$41:$M$46</c:f>
              <c:numCache>
                <c:formatCode>General</c:formatCode>
                <c:ptCount val="6"/>
                <c:pt idx="0">
                  <c:v>10.5</c:v>
                </c:pt>
                <c:pt idx="1">
                  <c:v>14.4</c:v>
                </c:pt>
                <c:pt idx="2">
                  <c:v>0.2</c:v>
                </c:pt>
                <c:pt idx="3">
                  <c:v>47.5</c:v>
                </c:pt>
                <c:pt idx="4">
                  <c:v>12.4</c:v>
                </c:pt>
                <c:pt idx="5">
                  <c:v>7.5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78623616"/>
        <c:axId val="178613632"/>
      </c:lineChart>
      <c:catAx>
        <c:axId val="1786105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78612096"/>
        <c:crosses val="autoZero"/>
        <c:auto val="1"/>
        <c:lblAlgn val="ctr"/>
        <c:lblOffset val="100"/>
        <c:noMultiLvlLbl val="0"/>
      </c:catAx>
      <c:valAx>
        <c:axId val="1786120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78610560"/>
        <c:crosses val="autoZero"/>
        <c:crossBetween val="between"/>
      </c:valAx>
      <c:catAx>
        <c:axId val="17862361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78613632"/>
        <c:crosses val="autoZero"/>
        <c:auto val="1"/>
        <c:lblAlgn val="ctr"/>
        <c:lblOffset val="100"/>
        <c:noMultiLvlLbl val="0"/>
      </c:catAx>
      <c:valAx>
        <c:axId val="178613632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78623616"/>
        <c:crosses val="max"/>
        <c:crossBetween val="between"/>
      </c:valAx>
    </c:plotArea>
    <c:plotVisOnly val="1"/>
    <c:dispBlanksAs val="gap"/>
    <c:showDLblsOverMax val="0"/>
    <c:extLst>
      <c:ext uri="{0b15fc19-7d7d-44ad-8c2d-2c3a37ce22c3}">
        <chartProps xmlns="https://web.wps.cn/et/2018/main" chartId="{c9ef7b5f-8999-4e79-8a1b-f254d4772cca}"/>
      </c:ext>
    </c:extLst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6182852143482"/>
          <c:y val="0.168298702245553"/>
          <c:w val="0.876456036745407"/>
          <c:h val="0.78608778069408"/>
        </c:manualLayout>
      </c:layout>
      <c:lineChart>
        <c:grouping val="standard"/>
        <c:varyColors val="0"/>
        <c:ser>
          <c:idx val="0"/>
          <c:order val="0"/>
          <c:dLbls>
            <c:dLbl>
              <c:idx val="2"/>
              <c:layout>
                <c:manualLayout>
                  <c:x val="-0.0249999999999999"/>
                  <c:y val="-0.0416666666666667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0.0509279892395407"/>
                  <c:y val="-0.0515949800973021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0455935985973924"/>
                  <c:y val="0.055420413779546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[2022年公报用表.xlsx]Sheet1!$K$65:$K$70</c:f>
              <c:strCache>
                <c:ptCount val="6"/>
                <c:pt idx="0">
                  <c:v>2018年</c:v>
                </c:pt>
                <c:pt idx="1">
                  <c:v>2019年</c:v>
                </c:pt>
                <c:pt idx="2">
                  <c:v>2020年</c:v>
                </c:pt>
                <c:pt idx="3">
                  <c:v>2021年</c:v>
                </c:pt>
                <c:pt idx="4">
                  <c:v>2022年</c:v>
                </c:pt>
                <c:pt idx="5">
                  <c:v>2023年</c:v>
                </c:pt>
              </c:strCache>
            </c:strRef>
          </c:cat>
          <c:val>
            <c:numRef>
              <c:f>[2022年公报用表.xlsx]Sheet1!$L$65:$L$70</c:f>
              <c:numCache>
                <c:formatCode>0.0_ </c:formatCode>
                <c:ptCount val="6"/>
                <c:pt idx="0">
                  <c:v>18.8</c:v>
                </c:pt>
                <c:pt idx="1" c:formatCode="General">
                  <c:v>6.3</c:v>
                </c:pt>
                <c:pt idx="2" c:formatCode="General">
                  <c:v>2.1</c:v>
                </c:pt>
                <c:pt idx="3">
                  <c:v>9</c:v>
                </c:pt>
                <c:pt idx="4" c:formatCode="General">
                  <c:v>14.5</c:v>
                </c:pt>
                <c:pt idx="5" c:formatCode="General">
                  <c:v>3.9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55697280"/>
        <c:axId val="255698816"/>
      </c:lineChart>
      <c:catAx>
        <c:axId val="25569728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255698816"/>
        <c:crosses val="autoZero"/>
        <c:auto val="1"/>
        <c:lblAlgn val="ctr"/>
        <c:lblOffset val="100"/>
        <c:noMultiLvlLbl val="0"/>
      </c:catAx>
      <c:valAx>
        <c:axId val="255698816"/>
        <c:scaling>
          <c:orientation val="minMax"/>
        </c:scaling>
        <c:delete val="0"/>
        <c:axPos val="l"/>
        <c:majorGridlines/>
        <c:numFmt formatCode="0.0_ 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255697280"/>
        <c:crosses val="autoZero"/>
        <c:crossBetween val="between"/>
      </c:valAx>
    </c:plotArea>
    <c:plotVisOnly val="1"/>
    <c:dispBlanksAs val="gap"/>
    <c:showDLblsOverMax val="0"/>
    <c:extLst>
      <c:ext uri="{0b15fc19-7d7d-44ad-8c2d-2c3a37ce22c3}">
        <chartProps xmlns="https://web.wps.cn/et/2018/main" chartId="{1b1b3e13-9691-450a-ad03-06f2f7076e04}"/>
      </c:ext>
    </c:extLst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7919147099442"/>
          <c:y val="0.143773495305752"/>
          <c:w val="0.817315020331398"/>
          <c:h val="0.760787786612248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2"/>
              <c:layout>
                <c:manualLayout>
                  <c:x val="0"/>
                  <c:y val="0.010018308687023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[2022年公报用表.xlsx]Sheet1!$K$85:$K$90</c:f>
              <c:strCache>
                <c:ptCount val="6"/>
                <c:pt idx="0">
                  <c:v>2018年</c:v>
                </c:pt>
                <c:pt idx="1">
                  <c:v>2019年</c:v>
                </c:pt>
                <c:pt idx="2">
                  <c:v>2020年</c:v>
                </c:pt>
                <c:pt idx="3">
                  <c:v>2021年</c:v>
                </c:pt>
                <c:pt idx="4">
                  <c:v>2022年</c:v>
                </c:pt>
                <c:pt idx="5">
                  <c:v>2023年</c:v>
                </c:pt>
              </c:strCache>
            </c:strRef>
          </c:cat>
          <c:val>
            <c:numRef>
              <c:f>[2022年公报用表.xlsx]Sheet1!$L$85:$L$90</c:f>
              <c:numCache>
                <c:formatCode>General</c:formatCode>
                <c:ptCount val="6"/>
                <c:pt idx="0">
                  <c:v>240.6</c:v>
                </c:pt>
                <c:pt idx="1">
                  <c:v>260.8</c:v>
                </c:pt>
                <c:pt idx="2">
                  <c:v>283.5</c:v>
                </c:pt>
                <c:pt idx="3">
                  <c:v>322.2</c:v>
                </c:pt>
                <c:pt idx="4">
                  <c:v>285.3</c:v>
                </c:pt>
                <c:pt idx="5">
                  <c:v>309.1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78483200"/>
        <c:axId val="178484736"/>
      </c:barChart>
      <c:lineChart>
        <c:grouping val="standard"/>
        <c:varyColors val="0"/>
        <c:ser>
          <c:idx val="1"/>
          <c:order val="1"/>
          <c:dLbls>
            <c:dLbl>
              <c:idx val="0"/>
              <c:layout>
                <c:manualLayout>
                  <c:x val="-0.0360360300212344"/>
                  <c:y val="0.055419722901385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0360360300212344"/>
                  <c:y val="-0.039119804400978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00955323464143702"/>
                  <c:y val="0.057058934830205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0.0100752148619825"/>
                  <c:y val="-0.010092461543602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017485879172741"/>
                  <c:y val="0.044556423559345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[2022年公报用表.xlsx]Sheet1!$K$85:$K$90</c:f>
              <c:strCache>
                <c:ptCount val="6"/>
                <c:pt idx="0">
                  <c:v>2018年</c:v>
                </c:pt>
                <c:pt idx="1">
                  <c:v>2019年</c:v>
                </c:pt>
                <c:pt idx="2">
                  <c:v>2020年</c:v>
                </c:pt>
                <c:pt idx="3">
                  <c:v>2021年</c:v>
                </c:pt>
                <c:pt idx="4">
                  <c:v>2022年</c:v>
                </c:pt>
                <c:pt idx="5">
                  <c:v>2023年</c:v>
                </c:pt>
              </c:strCache>
            </c:strRef>
          </c:cat>
          <c:val>
            <c:numRef>
              <c:f>[2022年公报用表.xlsx]Sheet1!$M$85:$M$90</c:f>
              <c:numCache>
                <c:formatCode>0.0_ </c:formatCode>
                <c:ptCount val="6"/>
                <c:pt idx="0">
                  <c:v>10</c:v>
                </c:pt>
                <c:pt idx="1" c:formatCode="General">
                  <c:v>8.4</c:v>
                </c:pt>
                <c:pt idx="2" c:formatCode="General">
                  <c:v>0.4</c:v>
                </c:pt>
                <c:pt idx="3" c:formatCode="General">
                  <c:v>13.6</c:v>
                </c:pt>
                <c:pt idx="4" c:formatCode="General">
                  <c:v>-1.1</c:v>
                </c:pt>
                <c:pt idx="5" c:formatCode="General">
                  <c:v>8.4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78488064"/>
        <c:axId val="178486272"/>
      </c:lineChart>
      <c:catAx>
        <c:axId val="1784832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78484736"/>
        <c:crosses val="autoZero"/>
        <c:auto val="1"/>
        <c:lblAlgn val="ctr"/>
        <c:lblOffset val="100"/>
        <c:noMultiLvlLbl val="0"/>
      </c:catAx>
      <c:valAx>
        <c:axId val="1784847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78483200"/>
        <c:crosses val="autoZero"/>
        <c:crossBetween val="between"/>
      </c:valAx>
      <c:catAx>
        <c:axId val="17848806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78486272"/>
        <c:crosses val="autoZero"/>
        <c:auto val="1"/>
        <c:lblAlgn val="ctr"/>
        <c:lblOffset val="100"/>
        <c:noMultiLvlLbl val="0"/>
      </c:catAx>
      <c:valAx>
        <c:axId val="178486272"/>
        <c:scaling>
          <c:orientation val="minMax"/>
        </c:scaling>
        <c:delete val="0"/>
        <c:axPos val="r"/>
        <c:numFmt formatCode="0.0_ 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78488064"/>
        <c:crosses val="max"/>
        <c:crossBetween val="between"/>
      </c:valAx>
    </c:plotArea>
    <c:plotVisOnly val="1"/>
    <c:dispBlanksAs val="gap"/>
    <c:showDLblsOverMax val="0"/>
    <c:extLst>
      <c:ext uri="{0b15fc19-7d7d-44ad-8c2d-2c3a37ce22c3}">
        <chartProps xmlns="https://web.wps.cn/et/2018/main" chartId="{a74529ab-5756-4eff-b0e3-823dcfbb6792}"/>
      </c:ext>
    </c:extLst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7919147099442"/>
          <c:y val="0.143773495305752"/>
          <c:w val="0.817315020331398"/>
          <c:h val="0.760787786612248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2"/>
              <c:layout>
                <c:manualLayout>
                  <c:x val="0"/>
                  <c:y val="0.010018308687023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"/>
                  <c:y val="0.023891519586741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 defTabSz="914400">
                      <a:defRPr lang="zh-CN" sz="12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t>392.</a:t>
                    </a:r>
                    <a:r>
                      <a:rPr lang="en-US" altLang="zh-CN"/>
                      <a:t>7</a:t>
                    </a:r>
                    <a:endParaRPr lang="en-US" altLang="zh-CN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[2022年公报用表.xlsx]Sheet1!$K$162:$K$167</c:f>
              <c:strCache>
                <c:ptCount val="6"/>
                <c:pt idx="0">
                  <c:v>2018年</c:v>
                </c:pt>
                <c:pt idx="1">
                  <c:v>2019年</c:v>
                </c:pt>
                <c:pt idx="2">
                  <c:v>2020年</c:v>
                </c:pt>
                <c:pt idx="3">
                  <c:v>2021年</c:v>
                </c:pt>
                <c:pt idx="4">
                  <c:v>2022年</c:v>
                </c:pt>
                <c:pt idx="5">
                  <c:v>2023年</c:v>
                </c:pt>
              </c:strCache>
            </c:strRef>
          </c:cat>
          <c:val>
            <c:numRef>
              <c:f>[2022年公报用表.xlsx]Sheet1!$L$162:$L$167</c:f>
              <c:numCache>
                <c:formatCode>General</c:formatCode>
                <c:ptCount val="6"/>
                <c:pt idx="0">
                  <c:v>208.8</c:v>
                </c:pt>
                <c:pt idx="1">
                  <c:v>236.1</c:v>
                </c:pt>
                <c:pt idx="2">
                  <c:v>250.9</c:v>
                </c:pt>
                <c:pt idx="3">
                  <c:v>287.1</c:v>
                </c:pt>
                <c:pt idx="4">
                  <c:v>316.6</c:v>
                </c:pt>
                <c:pt idx="5">
                  <c:v>392.6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57508480"/>
        <c:axId val="257855488"/>
      </c:barChart>
      <c:lineChart>
        <c:grouping val="standard"/>
        <c:varyColors val="0"/>
        <c:ser>
          <c:idx val="1"/>
          <c:order val="1"/>
          <c:dLbls>
            <c:dLbl>
              <c:idx val="0"/>
              <c:layout>
                <c:manualLayout>
                  <c:x val="-0.0360360300212345"/>
                  <c:y val="0.084688015584312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0361111111111111"/>
                  <c:y val="0.16585365853658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0390324066300361"/>
                  <c:y val="0.099904487548812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0374116101129837"/>
                  <c:y val="-0.044432661717921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0.0318693633545677"/>
                  <c:y val="0.060808634981215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0326002409375161"/>
                  <c:y val="0.046995447949589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[2022年公报用表.xlsx]Sheet1!$K$162:$K$167</c:f>
              <c:strCache>
                <c:ptCount val="6"/>
                <c:pt idx="0">
                  <c:v>2018年</c:v>
                </c:pt>
                <c:pt idx="1">
                  <c:v>2019年</c:v>
                </c:pt>
                <c:pt idx="2">
                  <c:v>2020年</c:v>
                </c:pt>
                <c:pt idx="3">
                  <c:v>2021年</c:v>
                </c:pt>
                <c:pt idx="4">
                  <c:v>2022年</c:v>
                </c:pt>
                <c:pt idx="5">
                  <c:v>2023年</c:v>
                </c:pt>
              </c:strCache>
            </c:strRef>
          </c:cat>
          <c:val>
            <c:numRef>
              <c:f>[2022年公报用表.xlsx]Sheet1!$M$162:$M$167</c:f>
              <c:numCache>
                <c:formatCode>General</c:formatCode>
                <c:ptCount val="6"/>
                <c:pt idx="0">
                  <c:v>10.7</c:v>
                </c:pt>
                <c:pt idx="1">
                  <c:v>6.7</c:v>
                </c:pt>
                <c:pt idx="2">
                  <c:v>4.2</c:v>
                </c:pt>
                <c:pt idx="3">
                  <c:v>9.5</c:v>
                </c:pt>
                <c:pt idx="4">
                  <c:v>2.6</c:v>
                </c:pt>
                <c:pt idx="5">
                  <c:v>4.9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57858560"/>
        <c:axId val="257857024"/>
      </c:lineChart>
      <c:catAx>
        <c:axId val="2575084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257855488"/>
        <c:crosses val="autoZero"/>
        <c:auto val="1"/>
        <c:lblAlgn val="ctr"/>
        <c:lblOffset val="100"/>
        <c:noMultiLvlLbl val="0"/>
      </c:catAx>
      <c:valAx>
        <c:axId val="2578554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257508480"/>
        <c:crosses val="autoZero"/>
        <c:crossBetween val="between"/>
      </c:valAx>
      <c:catAx>
        <c:axId val="25785856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257857024"/>
        <c:crosses val="autoZero"/>
        <c:auto val="1"/>
        <c:lblAlgn val="ctr"/>
        <c:lblOffset val="100"/>
        <c:noMultiLvlLbl val="0"/>
      </c:catAx>
      <c:valAx>
        <c:axId val="257857024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257858560"/>
        <c:crosses val="max"/>
        <c:crossBetween val="between"/>
      </c:valAx>
    </c:plotArea>
    <c:plotVisOnly val="1"/>
    <c:dispBlanksAs val="gap"/>
    <c:showDLblsOverMax val="0"/>
    <c:extLst>
      <c:ext uri="{0b15fc19-7d7d-44ad-8c2d-2c3a37ce22c3}">
        <chartProps xmlns="https://web.wps.cn/et/2018/main" chartId="{ec969efa-64d5-42c3-b781-43f3e5914c9f}"/>
      </c:ext>
    </c:extLst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7919147099442"/>
          <c:y val="0.143773495305752"/>
          <c:w val="0.817315020331398"/>
          <c:h val="0.760787786612248"/>
        </c:manualLayout>
      </c:layout>
      <c:lineChart>
        <c:grouping val="standard"/>
        <c:varyColors val="0"/>
        <c:ser>
          <c:idx val="1"/>
          <c:order val="0"/>
          <c:spPr>
            <a:ln w="28575" cap="rnd" cmpd="sng" algn="ctr">
              <a:solidFill>
                <a:srgbClr val="0070C0"/>
              </a:solidFill>
              <a:prstDash val="solid"/>
              <a:round/>
            </a:ln>
          </c:spPr>
          <c:marker>
            <c:spPr>
              <a:solidFill>
                <a:srgbClr val="0070C0"/>
              </a:solidFill>
              <a:ln w="9525" cap="flat" cmpd="sng" algn="ctr">
                <a:solidFill>
                  <a:srgbClr val="0070C0"/>
                </a:solidFill>
                <a:prstDash val="solid"/>
                <a:round/>
              </a:ln>
            </c:spPr>
          </c:marker>
          <c:dLbls>
            <c:dLbl>
              <c:idx val="0"/>
              <c:layout>
                <c:manualLayout>
                  <c:x val="-0.0360360300212345"/>
                  <c:y val="0.055419722901385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0360360300212344"/>
                  <c:y val="-0.039119804400978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0466348623804209"/>
                  <c:y val="0.0585365853658537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0.0346471411323455"/>
                  <c:y val="0.063247659371459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0381557964930717"/>
                  <c:y val="-0.065199674001630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[2022年公报用表.xlsx]Sheet1!$K$112:$K$117</c:f>
              <c:strCache>
                <c:ptCount val="6"/>
                <c:pt idx="0">
                  <c:v>2018年</c:v>
                </c:pt>
                <c:pt idx="1">
                  <c:v>2019年</c:v>
                </c:pt>
                <c:pt idx="2">
                  <c:v>2020年</c:v>
                </c:pt>
                <c:pt idx="3">
                  <c:v>2021年</c:v>
                </c:pt>
                <c:pt idx="4">
                  <c:v>2022年</c:v>
                </c:pt>
                <c:pt idx="5">
                  <c:v>2023年</c:v>
                </c:pt>
              </c:strCache>
            </c:strRef>
          </c:cat>
          <c:val>
            <c:numRef>
              <c:f>[2022年公报用表.xlsx]Sheet1!$M$112:$M$117</c:f>
              <c:numCache>
                <c:formatCode>General</c:formatCode>
                <c:ptCount val="6"/>
                <c:pt idx="0">
                  <c:v>10.3</c:v>
                </c:pt>
                <c:pt idx="1">
                  <c:v>14.2</c:v>
                </c:pt>
                <c:pt idx="2">
                  <c:v>2.6</c:v>
                </c:pt>
                <c:pt idx="3">
                  <c:v>7.2</c:v>
                </c:pt>
                <c:pt idx="4" c:formatCode="0.0_ ">
                  <c:v>-5</c:v>
                </c:pt>
                <c:pt idx="5">
                  <c:v>7.1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78514176"/>
        <c:axId val="255864832"/>
      </c:lineChart>
      <c:catAx>
        <c:axId val="17851417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</a:p>
        </c:txPr>
        <c:crossAx val="255864832"/>
        <c:crosses val="autoZero"/>
        <c:auto val="1"/>
        <c:lblAlgn val="ctr"/>
        <c:lblOffset val="100"/>
        <c:noMultiLvlLbl val="0"/>
      </c:catAx>
      <c:valAx>
        <c:axId val="2558648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</a:p>
        </c:txPr>
        <c:crossAx val="178514176"/>
        <c:crosses val="autoZero"/>
        <c:crossBetween val="between"/>
      </c:valAx>
    </c:plotArea>
    <c:plotVisOnly val="1"/>
    <c:dispBlanksAs val="gap"/>
    <c:showDLblsOverMax val="0"/>
    <c:extLst>
      <c:ext uri="{0b15fc19-7d7d-44ad-8c2d-2c3a37ce22c3}">
        <chartProps xmlns="https://web.wps.cn/et/2018/main" chartId="{5b5027be-295e-4268-827e-028e222209c1}"/>
      </c:ext>
    </c:extLst>
  </c:chart>
  <c:txPr>
    <a:bodyPr/>
    <a:lstStyle/>
    <a:p>
      <a:pPr>
        <a:defRPr lang="zh-CN"/>
      </a:pPr>
    </a:p>
  </c:txPr>
  <c:externalData r:id="rId1">
    <c:autoUpdate val="0"/>
  </c:externalData>
  <c:userShapes r:id="rId3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7919147099442"/>
          <c:y val="0.143773495305752"/>
          <c:w val="0.817315020331398"/>
          <c:h val="0.760787786612248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2"/>
              <c:layout>
                <c:manualLayout>
                  <c:x val="0"/>
                  <c:y val="0.010018308687023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00301023479831427"/>
                  <c:y val="-0.040707964601769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0020469596628537"/>
                  <c:y val="0.034955752212389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[2022年公报用表.xlsx]Sheet1!$K$138:$K$143</c:f>
              <c:strCache>
                <c:ptCount val="6"/>
                <c:pt idx="0">
                  <c:v>2018年</c:v>
                </c:pt>
                <c:pt idx="1">
                  <c:v>2019年</c:v>
                </c:pt>
                <c:pt idx="2">
                  <c:v>2020年</c:v>
                </c:pt>
                <c:pt idx="3">
                  <c:v>2021年</c:v>
                </c:pt>
                <c:pt idx="4">
                  <c:v>2022年</c:v>
                </c:pt>
                <c:pt idx="5">
                  <c:v>2023年</c:v>
                </c:pt>
              </c:strCache>
            </c:strRef>
          </c:cat>
          <c:val>
            <c:numRef>
              <c:f>[2022年公报用表.xlsx]Sheet1!$L$138:$L$143</c:f>
              <c:numCache>
                <c:formatCode>General</c:formatCode>
                <c:ptCount val="6"/>
                <c:pt idx="0">
                  <c:v>34350</c:v>
                </c:pt>
                <c:pt idx="1">
                  <c:v>37023</c:v>
                </c:pt>
                <c:pt idx="2">
                  <c:v>38780</c:v>
                </c:pt>
                <c:pt idx="3">
                  <c:v>41588</c:v>
                </c:pt>
                <c:pt idx="4">
                  <c:v>44195</c:v>
                </c:pt>
                <c:pt idx="5">
                  <c:v>46385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57508480"/>
        <c:axId val="257855488"/>
      </c:barChart>
      <c:lineChart>
        <c:grouping val="standard"/>
        <c:varyColors val="0"/>
        <c:ser>
          <c:idx val="1"/>
          <c:order val="1"/>
          <c:dLbls>
            <c:dLbl>
              <c:idx val="0"/>
              <c:layout>
                <c:manualLayout>
                  <c:x val="-0.0561443984739738"/>
                  <c:y val="-0.0518164091944488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0411683055722791"/>
                  <c:y val="-0.057376429958990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0390324066300361"/>
                  <c:y val="0.099904487548812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0424681957137542"/>
                  <c:y val="0.15121951219512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0.0318693633545677"/>
                  <c:y val="0.060808634981215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0.0326002409375161"/>
                  <c:y val="0.046995447949589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[2022年公报用表.xlsx]Sheet1!$K$138:$K$143</c:f>
              <c:strCache>
                <c:ptCount val="6"/>
                <c:pt idx="0">
                  <c:v>2018年</c:v>
                </c:pt>
                <c:pt idx="1">
                  <c:v>2019年</c:v>
                </c:pt>
                <c:pt idx="2">
                  <c:v>2020年</c:v>
                </c:pt>
                <c:pt idx="3">
                  <c:v>2021年</c:v>
                </c:pt>
                <c:pt idx="4">
                  <c:v>2022年</c:v>
                </c:pt>
                <c:pt idx="5">
                  <c:v>2023年</c:v>
                </c:pt>
              </c:strCache>
            </c:strRef>
          </c:cat>
          <c:val>
            <c:numRef>
              <c:f>[2022年公报用表.xlsx]Sheet1!$M$138:$M$143</c:f>
              <c:numCache>
                <c:formatCode>General</c:formatCode>
                <c:ptCount val="6"/>
                <c:pt idx="0">
                  <c:v>6.9</c:v>
                </c:pt>
                <c:pt idx="1">
                  <c:v>7.8</c:v>
                </c:pt>
                <c:pt idx="2">
                  <c:v>4.7</c:v>
                </c:pt>
                <c:pt idx="3">
                  <c:v>7.2</c:v>
                </c:pt>
                <c:pt idx="4">
                  <c:v>6.3</c:v>
                </c:pt>
                <c:pt idx="5" c:formatCode="0.0_ ">
                  <c:v>5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57858560"/>
        <c:axId val="257857024"/>
      </c:lineChart>
      <c:catAx>
        <c:axId val="25750848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257855488"/>
        <c:crosses val="autoZero"/>
        <c:auto val="1"/>
        <c:lblAlgn val="ctr"/>
        <c:lblOffset val="100"/>
        <c:noMultiLvlLbl val="0"/>
      </c:catAx>
      <c:valAx>
        <c:axId val="2578554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257508480"/>
        <c:crosses val="autoZero"/>
        <c:crossBetween val="between"/>
      </c:valAx>
      <c:catAx>
        <c:axId val="257858560"/>
        <c:scaling>
          <c:orientation val="minMax"/>
        </c:scaling>
        <c:delete val="1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257857024"/>
        <c:crosses val="autoZero"/>
        <c:auto val="1"/>
        <c:lblAlgn val="ctr"/>
        <c:lblOffset val="100"/>
        <c:noMultiLvlLbl val="0"/>
      </c:catAx>
      <c:valAx>
        <c:axId val="257857024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257858560"/>
        <c:crosses val="max"/>
        <c:crossBetween val="between"/>
      </c:valAx>
    </c:plotArea>
    <c:plotVisOnly val="1"/>
    <c:dispBlanksAs val="gap"/>
    <c:showDLblsOverMax val="0"/>
    <c:extLst>
      <c:ext uri="{0b15fc19-7d7d-44ad-8c2d-2c3a37ce22c3}">
        <chartProps xmlns="https://web.wps.cn/et/2018/main" chartId="{87774ac5-dd43-4a73-8ec9-fef56d574a2a}"/>
      </c:ext>
    </c:extLst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drawing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0.10175</cdr:x>
      <cdr:y>0.022</cdr:y>
    </cdr:from>
    <cdr:to>
      <cdr:x>0.24642</cdr:x>
      <cdr:y>0.10758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609600" y="85725"/>
          <a:ext cx="866775" cy="333375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/>
        <a:p>
          <a:endParaRPr lang="zh-CN" altLang="en-US" sz="1100"/>
        </a:p>
      </cdr:txBody>
    </cdr:sp>
  </cdr:relSizeAnchor>
  <cdr:relSizeAnchor xmlns:cdr="http://schemas.openxmlformats.org/drawingml/2006/chartDrawing">
    <cdr:from>
      <cdr:x>0.01136</cdr:x>
      <cdr:y>0.02689</cdr:y>
    </cdr:from>
    <cdr:to>
      <cdr:x>0.22599</cdr:x>
      <cdr:y>0.10513</cdr:y>
    </cdr:to>
    <cdr:sp>
      <cdr:nvSpPr>
        <cdr:cNvPr id="3" name="矩形 2"/>
        <cdr:cNvSpPr/>
      </cdr:nvSpPr>
      <cdr:spPr xmlns:a="http://schemas.openxmlformats.org/drawingml/2006/main">
        <a:xfrm xmlns:a="http://schemas.openxmlformats.org/drawingml/2006/main">
          <a:off x="77233" y="105008"/>
          <a:ext cx="1459666" cy="305547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/>
        <a:p>
          <a:r>
            <a:rPr lang="zh-CN" altLang="en-US" sz="1100"/>
            <a:t>单位：万元</a:t>
          </a:r>
          <a:endParaRPr lang="zh-CN" altLang="en-US" sz="1100"/>
        </a:p>
      </cdr:txBody>
    </cdr:sp>
  </cdr:relSizeAnchor>
  <cdr:relSizeAnchor xmlns:cdr="http://schemas.openxmlformats.org/drawingml/2006/chartDrawing">
    <cdr:from>
      <cdr:x>0.91892</cdr:x>
      <cdr:y>0.03909</cdr:y>
    </cdr:from>
    <cdr:to>
      <cdr:x>1</cdr:x>
      <cdr:y>0.10755</cdr:y>
    </cdr:to>
    <cdr:sp>
      <cdr:nvSpPr>
        <cdr:cNvPr id="4" name="矩形 3"/>
        <cdr:cNvSpPr/>
      </cdr:nvSpPr>
      <cdr:spPr xmlns:a="http://schemas.openxmlformats.org/drawingml/2006/main">
        <a:xfrm xmlns:a="http://schemas.openxmlformats.org/drawingml/2006/main">
          <a:off x="6249437" y="152637"/>
          <a:ext cx="551413" cy="267353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/>
        <a:p>
          <a:r>
            <a:rPr lang="en-US" altLang="zh-CN" sz="1100"/>
            <a:t>%</a:t>
          </a:r>
          <a:endParaRPr lang="zh-CN" altLang="en-US" sz="1100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0.90417</cdr:x>
      <cdr:y>0.01736</cdr:y>
    </cdr:from>
    <cdr:to>
      <cdr:x>0.96817</cdr:x>
      <cdr:y>0.10404</cdr:y>
    </cdr:to>
    <cdr:pic xmlns:a="http://schemas.openxmlformats.org/drawingml/2006/main">
      <cdr:nvPicPr>
        <cdr:cNvPr id="2" name="图片 1"/>
        <cdr:cNvPicPr/>
      </cdr:nvPicPr>
      <cdr:blipFill>
        <a:blip xmlns:r="http://schemas.openxmlformats.org/officeDocument/2006/relationships" r:embed="rId1"/>
        <a:stretch>
          <a:fillRect/>
        </a:stretch>
      </cdr:blipFill>
      <cdr:spPr>
        <a:xfrm>
          <a:off x="4133850" y="47625"/>
          <a:ext cx="292633" cy="237765"/>
        </a:xfrm>
        <a:prstGeom prst="rect">
          <a:avLst/>
        </a:prstGeom>
      </cdr:spPr>
    </cdr:pic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0.10175</cdr:x>
      <cdr:y>0.022</cdr:y>
    </cdr:from>
    <cdr:to>
      <cdr:x>0.24642</cdr:x>
      <cdr:y>0.10758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609600" y="85725"/>
          <a:ext cx="866775" cy="333375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/>
        <a:p>
          <a:endParaRPr lang="zh-CN" altLang="en-US" sz="1100"/>
        </a:p>
      </cdr:txBody>
    </cdr:sp>
  </cdr:relSizeAnchor>
  <cdr:relSizeAnchor xmlns:cdr="http://schemas.openxmlformats.org/drawingml/2006/chartDrawing">
    <cdr:from>
      <cdr:x>0.09539</cdr:x>
      <cdr:y>0.02445</cdr:y>
    </cdr:from>
    <cdr:to>
      <cdr:x>0.31002</cdr:x>
      <cdr:y>0.10269</cdr:y>
    </cdr:to>
    <cdr:sp>
      <cdr:nvSpPr>
        <cdr:cNvPr id="3" name="矩形 2"/>
        <cdr:cNvSpPr/>
      </cdr:nvSpPr>
      <cdr:spPr xmlns:a="http://schemas.openxmlformats.org/drawingml/2006/main">
        <a:xfrm xmlns:a="http://schemas.openxmlformats.org/drawingml/2006/main">
          <a:off x="571500" y="95250"/>
          <a:ext cx="1285875" cy="3048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/>
        <a:p>
          <a:r>
            <a:rPr lang="zh-CN" altLang="en-US" sz="1100"/>
            <a:t>万元</a:t>
          </a:r>
          <a:endParaRPr lang="zh-CN" altLang="en-US" sz="1100"/>
        </a:p>
      </cdr:txBody>
    </cdr:sp>
  </cdr:relSizeAnchor>
  <cdr:relSizeAnchor xmlns:cdr="http://schemas.openxmlformats.org/drawingml/2006/chartDrawing">
    <cdr:from>
      <cdr:x>0.85374</cdr:x>
      <cdr:y>0.02689</cdr:y>
    </cdr:from>
    <cdr:to>
      <cdr:x>0.93482</cdr:x>
      <cdr:y>0.09535</cdr:y>
    </cdr:to>
    <cdr:sp>
      <cdr:nvSpPr>
        <cdr:cNvPr id="4" name="矩形 3"/>
        <cdr:cNvSpPr/>
      </cdr:nvSpPr>
      <cdr:spPr xmlns:a="http://schemas.openxmlformats.org/drawingml/2006/main">
        <a:xfrm xmlns:a="http://schemas.openxmlformats.org/drawingml/2006/main">
          <a:off x="5114926" y="104775"/>
          <a:ext cx="485775" cy="2667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/>
        <a:p>
          <a:r>
            <a:rPr lang="en-US" altLang="zh-CN" sz="1100"/>
            <a:t>%</a:t>
          </a:r>
          <a:endParaRPr lang="zh-CN" altLang="en-US" sz="1100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0.10175</cdr:x>
      <cdr:y>0.022</cdr:y>
    </cdr:from>
    <cdr:to>
      <cdr:x>0.24642</cdr:x>
      <cdr:y>0.10758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609600" y="85725"/>
          <a:ext cx="866775" cy="333375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/>
        <a:p>
          <a:endParaRPr lang="zh-CN" altLang="en-US" sz="1100"/>
        </a:p>
      </cdr:txBody>
    </cdr:sp>
  </cdr:relSizeAnchor>
  <cdr:relSizeAnchor xmlns:cdr="http://schemas.openxmlformats.org/drawingml/2006/chartDrawing">
    <cdr:from>
      <cdr:x>0.09539</cdr:x>
      <cdr:y>0.02445</cdr:y>
    </cdr:from>
    <cdr:to>
      <cdr:x>0.31002</cdr:x>
      <cdr:y>0.10269</cdr:y>
    </cdr:to>
    <cdr:sp>
      <cdr:nvSpPr>
        <cdr:cNvPr id="3" name="矩形 2"/>
        <cdr:cNvSpPr/>
      </cdr:nvSpPr>
      <cdr:spPr xmlns:a="http://schemas.openxmlformats.org/drawingml/2006/main">
        <a:xfrm xmlns:a="http://schemas.openxmlformats.org/drawingml/2006/main">
          <a:off x="571500" y="95250"/>
          <a:ext cx="1285875" cy="3048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/>
        <a:p>
          <a:r>
            <a:rPr lang="zh-CN" altLang="en-US" sz="1100"/>
            <a:t>亿元</a:t>
          </a:r>
          <a:endParaRPr lang="zh-CN" altLang="en-US" sz="1100"/>
        </a:p>
      </cdr:txBody>
    </cdr:sp>
  </cdr:relSizeAnchor>
  <cdr:relSizeAnchor xmlns:cdr="http://schemas.openxmlformats.org/drawingml/2006/chartDrawing">
    <cdr:from>
      <cdr:x>0.85374</cdr:x>
      <cdr:y>0.02689</cdr:y>
    </cdr:from>
    <cdr:to>
      <cdr:x>0.93482</cdr:x>
      <cdr:y>0.09535</cdr:y>
    </cdr:to>
    <cdr:sp>
      <cdr:nvSpPr>
        <cdr:cNvPr id="4" name="矩形 3"/>
        <cdr:cNvSpPr/>
      </cdr:nvSpPr>
      <cdr:spPr xmlns:a="http://schemas.openxmlformats.org/drawingml/2006/main">
        <a:xfrm xmlns:a="http://schemas.openxmlformats.org/drawingml/2006/main">
          <a:off x="5114926" y="104775"/>
          <a:ext cx="485775" cy="2667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/>
        <a:p>
          <a:r>
            <a:rPr lang="en-US" altLang="zh-CN" sz="1100"/>
            <a:t>%</a:t>
          </a:r>
          <a:endParaRPr lang="zh-CN" altLang="en-US" sz="1100"/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0.10175</cdr:x>
      <cdr:y>0.022</cdr:y>
    </cdr:from>
    <cdr:to>
      <cdr:x>0.24642</cdr:x>
      <cdr:y>0.10758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609600" y="85725"/>
          <a:ext cx="866775" cy="333375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/>
        <a:p>
          <a:endParaRPr lang="zh-CN" altLang="en-US" sz="1100"/>
        </a:p>
      </cdr:txBody>
    </cdr:sp>
  </cdr:relSizeAnchor>
  <cdr:relSizeAnchor xmlns:cdr="http://schemas.openxmlformats.org/drawingml/2006/chartDrawing">
    <cdr:from>
      <cdr:x>0.09539</cdr:x>
      <cdr:y>0.02445</cdr:y>
    </cdr:from>
    <cdr:to>
      <cdr:x>0.31002</cdr:x>
      <cdr:y>0.10269</cdr:y>
    </cdr:to>
    <cdr:sp>
      <cdr:nvSpPr>
        <cdr:cNvPr id="3" name="矩形 2"/>
        <cdr:cNvSpPr/>
      </cdr:nvSpPr>
      <cdr:spPr xmlns:a="http://schemas.openxmlformats.org/drawingml/2006/main">
        <a:xfrm xmlns:a="http://schemas.openxmlformats.org/drawingml/2006/main">
          <a:off x="571500" y="95250"/>
          <a:ext cx="1285875" cy="3048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/>
        <a:p>
          <a:r>
            <a:rPr lang="zh-CN" altLang="en-US" sz="1100"/>
            <a:t>元</a:t>
          </a:r>
          <a:endParaRPr lang="zh-CN" altLang="en-US" sz="1100"/>
        </a:p>
      </cdr:txBody>
    </cdr:sp>
  </cdr:relSizeAnchor>
  <cdr:relSizeAnchor xmlns:cdr="http://schemas.openxmlformats.org/drawingml/2006/chartDrawing">
    <cdr:from>
      <cdr:x>0.896795555555556</cdr:x>
      <cdr:y>0.0342070731707317</cdr:y>
    </cdr:from>
    <cdr:to>
      <cdr:x>0.977875555555556</cdr:x>
      <cdr:y>0.102667073170732</cdr:y>
    </cdr:to>
    <cdr:sp>
      <cdr:nvSpPr>
        <cdr:cNvPr id="4" name="矩形 3"/>
        <cdr:cNvSpPr/>
      </cdr:nvSpPr>
      <cdr:spPr xmlns:a="http://schemas.openxmlformats.org/drawingml/2006/main">
        <a:xfrm xmlns:a="http://schemas.openxmlformats.org/drawingml/2006/main">
          <a:off x="6150224" y="133587"/>
          <a:ext cx="556047" cy="267353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/>
        <a:p>
          <a:r>
            <a:rPr lang="en-US" altLang="zh-CN" sz="1100"/>
            <a:t>%</a:t>
          </a:r>
          <a:endParaRPr lang="zh-CN" altLang="en-US" sz="1100"/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0.10175</cdr:x>
      <cdr:y>0.022</cdr:y>
    </cdr:from>
    <cdr:to>
      <cdr:x>0.24642</cdr:x>
      <cdr:y>0.10758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609600" y="85725"/>
          <a:ext cx="866775" cy="333375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/>
        <a:p>
          <a:endParaRPr lang="zh-CN" altLang="en-US" sz="1100"/>
        </a:p>
      </cdr:txBody>
    </cdr:sp>
  </cdr:relSizeAnchor>
  <cdr:relSizeAnchor xmlns:cdr="http://schemas.openxmlformats.org/drawingml/2006/chartDrawing">
    <cdr:from>
      <cdr:x>0.0634622222222222</cdr:x>
      <cdr:y>0.0342070731707317</cdr:y>
    </cdr:from>
    <cdr:to>
      <cdr:x>0.144542222222222</cdr:x>
      <cdr:y>0.102667073170732</cdr:y>
    </cdr:to>
    <cdr:sp>
      <cdr:nvSpPr>
        <cdr:cNvPr id="3" name="矩形 2"/>
        <cdr:cNvSpPr/>
      </cdr:nvSpPr>
      <cdr:spPr xmlns:a="http://schemas.openxmlformats.org/drawingml/2006/main">
        <a:xfrm xmlns:a="http://schemas.openxmlformats.org/drawingml/2006/main">
          <a:off x="435224" y="133587"/>
          <a:ext cx="556047" cy="267353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/>
        <a:p>
          <a:r>
            <a:rPr lang="en-US" altLang="zh-CN" sz="1100"/>
            <a:t>%</a:t>
          </a:r>
          <a:endParaRPr lang="zh-CN" altLang="en-US" sz="1100"/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0.10175</cdr:x>
      <cdr:y>0.022</cdr:y>
    </cdr:from>
    <cdr:to>
      <cdr:x>0.24642</cdr:x>
      <cdr:y>0.10758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609600" y="85725"/>
          <a:ext cx="866775" cy="333375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defPPr>
            <a:defRPr lang="zh-CN"/>
          </a:defPPr>
          <a:lvl1pPr marL="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1pPr>
          <a:lvl2pPr marL="4572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2pPr>
          <a:lvl3pPr marL="9144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3pPr>
          <a:lvl4pPr marL="13716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4pPr>
          <a:lvl5pPr marL="18288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5pPr>
          <a:lvl6pPr marL="22860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6pPr>
          <a:lvl7pPr marL="27432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7pPr>
          <a:lvl8pPr marL="32004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8pPr>
          <a:lvl9pPr marL="36576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9pPr>
        </a:lstStyle>
        <a:p>
          <a:endParaRPr lang="zh-CN" altLang="en-US" sz="1100"/>
        </a:p>
      </cdr:txBody>
    </cdr:sp>
  </cdr:relSizeAnchor>
  <cdr:relSizeAnchor xmlns:cdr="http://schemas.openxmlformats.org/drawingml/2006/chartDrawing">
    <cdr:from>
      <cdr:x>0.09539</cdr:x>
      <cdr:y>0.02445</cdr:y>
    </cdr:from>
    <cdr:to>
      <cdr:x>0.31002</cdr:x>
      <cdr:y>0.10269</cdr:y>
    </cdr:to>
    <cdr:sp>
      <cdr:nvSpPr>
        <cdr:cNvPr id="3" name="矩形 2"/>
        <cdr:cNvSpPr/>
      </cdr:nvSpPr>
      <cdr:spPr xmlns:a="http://schemas.openxmlformats.org/drawingml/2006/main">
        <a:xfrm xmlns:a="http://schemas.openxmlformats.org/drawingml/2006/main">
          <a:off x="571500" y="95250"/>
          <a:ext cx="1285875" cy="3048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defPPr>
            <a:defRPr lang="zh-CN"/>
          </a:defPPr>
          <a:lvl1pPr marL="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1pPr>
          <a:lvl2pPr marL="4572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2pPr>
          <a:lvl3pPr marL="9144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3pPr>
          <a:lvl4pPr marL="13716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4pPr>
          <a:lvl5pPr marL="18288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5pPr>
          <a:lvl6pPr marL="22860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6pPr>
          <a:lvl7pPr marL="27432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7pPr>
          <a:lvl8pPr marL="32004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8pPr>
          <a:lvl9pPr marL="36576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9pPr>
        </a:lstStyle>
        <a:p>
          <a:r>
            <a:rPr lang="zh-CN" altLang="en-US" sz="1100"/>
            <a:t>亿元</a:t>
          </a:r>
          <a:endParaRPr lang="zh-CN" altLang="en-US" sz="1100"/>
        </a:p>
      </cdr:txBody>
    </cdr:sp>
  </cdr:relSizeAnchor>
  <cdr:relSizeAnchor xmlns:cdr="http://schemas.openxmlformats.org/drawingml/2006/chartDrawing">
    <cdr:from>
      <cdr:x>0.8968</cdr:x>
      <cdr:y>0.03421</cdr:y>
    </cdr:from>
    <cdr:to>
      <cdr:x>0.97788</cdr:x>
      <cdr:y>0.10267</cdr:y>
    </cdr:to>
    <cdr:sp>
      <cdr:nvSpPr>
        <cdr:cNvPr id="4" name="矩形 3"/>
        <cdr:cNvSpPr/>
      </cdr:nvSpPr>
      <cdr:spPr xmlns:a="http://schemas.openxmlformats.org/drawingml/2006/main">
        <a:xfrm xmlns:a="http://schemas.openxmlformats.org/drawingml/2006/main">
          <a:off x="6150224" y="133587"/>
          <a:ext cx="556047" cy="267353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defPPr>
            <a:defRPr lang="zh-CN"/>
          </a:defPPr>
          <a:lvl1pPr marL="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1pPr>
          <a:lvl2pPr marL="4572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2pPr>
          <a:lvl3pPr marL="9144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3pPr>
          <a:lvl4pPr marL="13716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4pPr>
          <a:lvl5pPr marL="18288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5pPr>
          <a:lvl6pPr marL="22860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6pPr>
          <a:lvl7pPr marL="27432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7pPr>
          <a:lvl8pPr marL="32004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8pPr>
          <a:lvl9pPr marL="3657600" algn="l" defTabSz="914400" rtl="0" eaLnBrk="1" latinLnBrk="0" hangingPunct="1">
            <a:defRPr sz="1100">
              <a:latin typeface="+mn-lt"/>
              <a:ea typeface="+mn-ea"/>
              <a:cs typeface="+mn-cs"/>
            </a:defRPr>
          </a:lvl9pPr>
        </a:lstStyle>
        <a:p>
          <a:r>
            <a:rPr lang="en-US" altLang="zh-CN" sz="1100"/>
            <a:t>%</a:t>
          </a:r>
          <a:endParaRPr lang="zh-CN" altLang="en-US" sz="1100"/>
        </a:p>
      </cdr:txBody>
    </cdr:sp>
  </cdr:relSizeAnchor>
</c:userShap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44856-4A44-4EFF-BEA2-F82FD7C4C1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14</Pages>
  <Words>4376</Words>
  <Characters>5934</Characters>
  <Lines>45</Lines>
  <Paragraphs>12</Paragraphs>
  <TotalTime>60</TotalTime>
  <ScaleCrop>false</ScaleCrop>
  <LinksUpToDate>false</LinksUpToDate>
  <CharactersWithSpaces>6097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2022-02-15T07:41:00Z</dcterms:created>
  <dc:creator>Microsoft</dc:creator>
  <cp:lastModifiedBy>霞光飞扬</cp:lastModifiedBy>
  <cp:lastPrinted>2024-04-12T01:18:00Z</cp:lastPrinted>
  <dcterms:modified xsi:type="dcterms:W3CDTF">2025-10-23T03:23:38Z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B86697AB1809405786546D021998D5F4</vt:lpwstr>
  </property>
  <property fmtid="{D5CDD505-2E9C-101B-9397-08002B2CF9AE}" pid="4" name="KSOTemplateDocerSaveRecord">
    <vt:lpwstr>eyJoZGlkIjoiNTlhYzAyYjdkNzU2MjQ1MmNiMzI2OGRjZjZkZDFjNTMiLCJ1c2VySWQiOiI3NTg2OTgyNzYifQ==</vt:lpwstr>
  </property>
</Properties>
</file>