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本次检验项目</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畜副产品</w:t>
      </w:r>
    </w:p>
    <w:p>
      <w:pPr>
        <w:numPr>
          <w:ilvl w:val="0"/>
          <w:numId w:val="0"/>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抽检依据</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抽检依据是</w:t>
      </w:r>
      <w:r>
        <w:rPr>
          <w:rFonts w:hint="eastAsia" w:ascii="仿宋_GB2312" w:hAnsi="仿宋_GB2312" w:eastAsia="仿宋_GB2312" w:cs="仿宋_GB2312"/>
          <w:sz w:val="32"/>
          <w:szCs w:val="32"/>
          <w:highlight w:val="none"/>
        </w:rPr>
        <w:t>GB 31650-2019《食品安全国家标准 食品中兽药最大残留限量》,农业农村部公告 第250号《食品动物中禁止使用的药品及其他化合物清单》</w:t>
      </w:r>
      <w:r>
        <w:rPr>
          <w:rFonts w:hint="eastAsia" w:ascii="仿宋_GB2312" w:hAnsi="仿宋_GB2312" w:eastAsia="仿宋_GB2312" w:cs="仿宋_GB2312"/>
          <w:sz w:val="32"/>
          <w:szCs w:val="32"/>
          <w:highlight w:val="none"/>
          <w:lang w:eastAsia="zh-CN"/>
        </w:rPr>
        <w:t>，农业部公告第 2292 号《发布在食品动物中停止使用洛美沙星、培氟沙星、氧氟沙星、诺氟沙星4种兽药的决定》。</w:t>
      </w:r>
      <w:r>
        <w:rPr>
          <w:rFonts w:hint="eastAsia" w:ascii="仿宋_GB2312" w:hAnsi="仿宋_GB2312" w:eastAsia="仿宋_GB2312" w:cs="仿宋_GB2312"/>
          <w:sz w:val="32"/>
          <w:szCs w:val="32"/>
          <w:highlight w:val="none"/>
          <w:lang w:val="en-US" w:eastAsia="zh-CN"/>
        </w:rPr>
        <w:t xml:space="preserve"> </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numPr>
          <w:ilvl w:val="0"/>
          <w:numId w:val="0"/>
        </w:numPr>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lang w:eastAsia="zh-CN"/>
        </w:rPr>
        <w:t>畜副产品抽检项目包括</w:t>
      </w:r>
      <w:r>
        <w:rPr>
          <w:rFonts w:hint="eastAsia" w:ascii="仿宋_GB2312" w:hAnsi="仿宋_GB2312" w:eastAsia="仿宋_GB2312" w:cs="仿宋_GB2312"/>
          <w:i w:val="0"/>
          <w:color w:val="auto"/>
          <w:kern w:val="0"/>
          <w:sz w:val="32"/>
          <w:szCs w:val="32"/>
          <w:u w:val="none"/>
          <w:lang w:val="en-US" w:eastAsia="zh-CN" w:bidi="ar"/>
        </w:rPr>
        <w:t>氧氟沙星、五氯酚酸钠（以五氯酚计）、克伦特罗、莱克多巴胺、沙丁胺醇、恩诺沙星、呋喃唑酮代谢物、呋喃西林代谢物</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highlight w:val="none"/>
          <w:lang w:eastAsia="zh-CN"/>
        </w:rPr>
        <w:t>。</w:t>
      </w:r>
    </w:p>
    <w:p>
      <w:pPr>
        <w:numPr>
          <w:ilvl w:val="0"/>
          <w:numId w:val="1"/>
        </w:numPr>
        <w:ind w:left="0" w:leftChars="0"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禽副产品</w:t>
      </w:r>
    </w:p>
    <w:p>
      <w:pPr>
        <w:numPr>
          <w:ilvl w:val="0"/>
          <w:numId w:val="0"/>
        </w:num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（一）抽检依据</w:t>
      </w:r>
    </w:p>
    <w:p>
      <w:pPr>
        <w:numPr>
          <w:ilvl w:val="0"/>
          <w:numId w:val="0"/>
        </w:num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lang w:val="en-US" w:eastAsia="zh-CN"/>
        </w:rPr>
        <w:t>抽检依据是</w:t>
      </w:r>
      <w:r>
        <w:rPr>
          <w:rFonts w:hint="eastAsia" w:ascii="仿宋" w:hAnsi="仿宋" w:eastAsia="仿宋" w:cs="仿宋"/>
          <w:sz w:val="32"/>
          <w:szCs w:val="32"/>
          <w:highlight w:val="none"/>
        </w:rPr>
        <w:t>GB 31650-2019《食品安全国家标准 食品中兽药最大残留限量》,农业部公告第 2292 号《发布在食品动物中停止使用洛美沙星、培氟沙星、氧氟沙星、诺氟沙星4种兽药的决定》</w:t>
      </w:r>
      <w:r>
        <w:rPr>
          <w:rFonts w:hint="eastAsia" w:ascii="仿宋" w:hAnsi="仿宋" w:eastAsia="仿宋" w:cs="仿宋"/>
          <w:sz w:val="32"/>
          <w:szCs w:val="32"/>
          <w:highlight w:val="none"/>
          <w:lang w:eastAsia="zh-CN"/>
        </w:rPr>
        <w:t>，农业部公告第 2292 号《发布在食品动物中停止使用洛美沙星、培氟沙星、氧氟沙星、诺氟沙星4种兽药的决定》,农业农村部公告 第250号《食品动物中禁止使用的药品及其他化合物清单》。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（二）检验项目</w:t>
      </w:r>
    </w:p>
    <w:p>
      <w:pPr>
        <w:numPr>
          <w:ilvl w:val="0"/>
          <w:numId w:val="0"/>
        </w:num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禽副产品抽检项目包括</w:t>
      </w:r>
      <w:r>
        <w:rPr>
          <w:rFonts w:hint="eastAsia" w:ascii="仿宋" w:hAnsi="仿宋" w:eastAsia="仿宋" w:cs="仿宋"/>
          <w:i w:val="0"/>
          <w:color w:val="auto"/>
          <w:kern w:val="0"/>
          <w:sz w:val="32"/>
          <w:szCs w:val="32"/>
          <w:u w:val="none"/>
          <w:lang w:val="en-US" w:eastAsia="zh-CN" w:bidi="ar"/>
        </w:rPr>
        <w:t>恩诺沙星、氧氟沙星、呋喃唑酮代谢物</w:t>
      </w:r>
      <w:r>
        <w:rPr>
          <w:rFonts w:hint="eastAsia" w:ascii="仿宋" w:hAnsi="仿宋" w:eastAsia="仿宋" w:cs="仿宋"/>
          <w:sz w:val="32"/>
          <w:szCs w:val="32"/>
          <w:lang w:eastAsia="zh-CN"/>
        </w:rPr>
        <w:t>等</w:t>
      </w:r>
      <w:r>
        <w:rPr>
          <w:rFonts w:hint="eastAsia" w:ascii="仿宋" w:hAnsi="仿宋" w:eastAsia="仿宋" w:cs="仿宋"/>
          <w:sz w:val="32"/>
          <w:szCs w:val="32"/>
          <w:highlight w:val="none"/>
          <w:lang w:eastAsia="zh-CN"/>
        </w:rPr>
        <w:t>。</w:t>
      </w:r>
    </w:p>
    <w:p>
      <w:pPr>
        <w:numPr>
          <w:ilvl w:val="0"/>
          <w:numId w:val="1"/>
        </w:numPr>
        <w:ind w:left="0" w:leftChars="0" w:firstLine="640" w:firstLineChars="20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其他水产品</w:t>
      </w:r>
    </w:p>
    <w:p>
      <w:pPr>
        <w:numPr>
          <w:ilvl w:val="0"/>
          <w:numId w:val="2"/>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w:t>
      </w:r>
    </w:p>
    <w:p>
      <w:pPr>
        <w:numPr>
          <w:numId w:val="0"/>
        </w:num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GB 31650-2019《食品安全国家标准 食品中兽药最大残留限量》,农业部公告第 2292 号《发布在食品动物中停止使用洛美沙星、培氟沙星、氧氟沙星、诺氟沙星4种兽药的决定》,农业农村部公告第250号《食品动物中禁止使用的药品及其他化合物清单》</w:t>
      </w:r>
      <w:r>
        <w:rPr>
          <w:rFonts w:hint="eastAsia" w:ascii="仿宋_GB2312" w:hAnsi="仿宋_GB2312" w:eastAsia="仿宋_GB2312" w:cs="仿宋_GB2312"/>
          <w:sz w:val="32"/>
          <w:szCs w:val="32"/>
          <w:highlight w:val="none"/>
          <w:lang w:eastAsia="zh-CN"/>
        </w:rPr>
        <w:t>。</w:t>
      </w:r>
    </w:p>
    <w:p>
      <w:pPr>
        <w:pStyle w:val="2"/>
        <w:numPr>
          <w:ilvl w:val="0"/>
          <w:numId w:val="2"/>
        </w:numPr>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检验项目</w:t>
      </w:r>
    </w:p>
    <w:p>
      <w:pPr>
        <w:numPr>
          <w:ilvl w:val="0"/>
          <w:numId w:val="0"/>
        </w:num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其他水产品抽检项目包括</w:t>
      </w:r>
      <w:r>
        <w:rPr>
          <w:rFonts w:hint="eastAsia" w:ascii="仿宋_GB2312" w:hAnsi="仿宋_GB2312" w:eastAsia="仿宋_GB2312" w:cs="仿宋_GB2312"/>
          <w:sz w:val="32"/>
          <w:szCs w:val="32"/>
          <w:highlight w:val="none"/>
        </w:rPr>
        <w:t>恩诺沙星,氧氟沙星,呋喃唑酮代谢物</w:t>
      </w:r>
      <w:r>
        <w:rPr>
          <w:rFonts w:hint="eastAsia" w:ascii="仿宋_GB2312" w:hAnsi="仿宋_GB2312" w:eastAsia="仿宋_GB2312" w:cs="仿宋_GB2312"/>
          <w:sz w:val="32"/>
          <w:szCs w:val="32"/>
          <w:highlight w:val="none"/>
          <w:lang w:eastAsia="zh-CN"/>
        </w:rPr>
        <w:t>等。</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生干坚果与籽类食品</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（一）抽检依据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抽检依据是GB 19300-2014《食品安全国家标准 坚果与籽类食品》,GB 2761-2017《食品安全国家标准 食品中真菌毒素限量》，GB 2762-2017《食品安全国家标准 食品中污染物限量》。</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sz w:val="32"/>
          <w:szCs w:val="32"/>
        </w:rPr>
        <w:t>（二）检验项目</w:t>
      </w:r>
    </w:p>
    <w:p>
      <w:pPr>
        <w:numPr>
          <w:ilvl w:val="0"/>
          <w:numId w:val="0"/>
        </w:numPr>
        <w:ind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sz w:val="32"/>
          <w:szCs w:val="32"/>
          <w:lang w:val="en-US" w:eastAsia="zh-CN"/>
        </w:rPr>
        <w:t>生干坚果与籽类食品</w:t>
      </w:r>
      <w:r>
        <w:rPr>
          <w:rFonts w:hint="eastAsia" w:ascii="仿宋" w:hAnsi="仿宋" w:eastAsia="仿宋" w:cs="仿宋"/>
          <w:bCs/>
          <w:sz w:val="32"/>
          <w:szCs w:val="32"/>
          <w:highlight w:val="none"/>
          <w:lang w:val="en-US" w:eastAsia="zh-CN"/>
        </w:rPr>
        <w:t>抽检项目包括</w:t>
      </w:r>
      <w:r>
        <w:rPr>
          <w:rFonts w:hint="eastAsia" w:ascii="仿宋" w:hAnsi="仿宋" w:eastAsia="仿宋" w:cs="仿宋"/>
          <w:i w:val="0"/>
          <w:color w:val="auto"/>
          <w:kern w:val="0"/>
          <w:sz w:val="32"/>
          <w:szCs w:val="32"/>
          <w:u w:val="none"/>
          <w:lang w:val="en-US" w:eastAsia="zh-CN" w:bidi="ar"/>
        </w:rPr>
        <w:t>酸价（以脂肪计）、过氧化值（以脂肪计）、铅（以Pb计）、黄曲霉毒素B1</w:t>
      </w:r>
      <w:r>
        <w:rPr>
          <w:rFonts w:hint="eastAsia" w:ascii="仿宋" w:hAnsi="仿宋" w:eastAsia="仿宋" w:cs="仿宋"/>
          <w:sz w:val="32"/>
          <w:szCs w:val="32"/>
          <w:lang w:val="en-US" w:eastAsia="zh-CN"/>
        </w:rPr>
        <w:t>等</w:t>
      </w:r>
      <w:r>
        <w:rPr>
          <w:rFonts w:hint="eastAsia" w:ascii="仿宋" w:hAnsi="仿宋" w:eastAsia="仿宋" w:cs="仿宋"/>
          <w:bCs/>
          <w:sz w:val="32"/>
          <w:szCs w:val="32"/>
          <w:highlight w:val="none"/>
          <w:lang w:val="en-US" w:eastAsia="zh-CN"/>
        </w:rPr>
        <w:t>。</w:t>
      </w:r>
    </w:p>
    <w:p>
      <w:pPr>
        <w:numPr>
          <w:ilvl w:val="0"/>
          <w:numId w:val="0"/>
        </w:numPr>
        <w:ind w:firstLine="640" w:firstLineChars="200"/>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五、</w:t>
      </w:r>
      <w:r>
        <w:rPr>
          <w:rFonts w:hint="eastAsia" w:ascii="黑体" w:hAnsi="黑体" w:eastAsia="黑体" w:cs="黑体"/>
          <w:sz w:val="32"/>
          <w:szCs w:val="32"/>
          <w:lang w:val="en-US" w:eastAsia="zh-CN"/>
        </w:rPr>
        <w:t>豆芽</w:t>
      </w:r>
    </w:p>
    <w:p>
      <w:pPr>
        <w:numPr>
          <w:ilvl w:val="0"/>
          <w:numId w:val="0"/>
        </w:num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（一）抽检依据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抽检依据是GB 22556-2008《豆芽卫生标准》,GB 2762-2017《食品安全国家标准 食品中污染物限量》,国家食品药品监督管理总局农业部国家卫生和计划生育委员会关于豆芽生产过程中禁止使用6-苄基腺嘌呤等物质的公告(2015年第11号)。</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检验项目</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highlight w:val="none"/>
          <w:lang w:val="en-US" w:eastAsia="zh-CN"/>
        </w:rPr>
        <w:t>豆芽抽检项目包括</w:t>
      </w:r>
      <w:r>
        <w:rPr>
          <w:rFonts w:hint="eastAsia" w:ascii="仿宋" w:hAnsi="仿宋" w:eastAsia="仿宋" w:cs="仿宋"/>
          <w:i w:val="0"/>
          <w:color w:val="auto"/>
          <w:kern w:val="0"/>
          <w:sz w:val="32"/>
          <w:szCs w:val="32"/>
          <w:u w:val="none"/>
          <w:lang w:val="en-US" w:eastAsia="zh-CN" w:bidi="ar"/>
        </w:rPr>
        <w:t>铅（以Pb计）、铬、亚硫酸盐（以SO</w:t>
      </w:r>
      <w:r>
        <w:rPr>
          <w:rStyle w:val="11"/>
          <w:rFonts w:hint="eastAsia" w:ascii="仿宋" w:hAnsi="仿宋" w:eastAsia="仿宋" w:cs="仿宋"/>
          <w:color w:val="auto"/>
          <w:sz w:val="32"/>
          <w:szCs w:val="32"/>
          <w:lang w:val="en-US" w:eastAsia="zh-CN" w:bidi="ar"/>
        </w:rPr>
        <w:t>2</w:t>
      </w:r>
      <w:r>
        <w:rPr>
          <w:rFonts w:hint="eastAsia" w:ascii="仿宋" w:hAnsi="仿宋" w:eastAsia="仿宋" w:cs="仿宋"/>
          <w:i w:val="0"/>
          <w:color w:val="auto"/>
          <w:kern w:val="0"/>
          <w:sz w:val="32"/>
          <w:szCs w:val="32"/>
          <w:u w:val="none"/>
          <w:lang w:val="en-US" w:eastAsia="zh-CN" w:bidi="ar"/>
        </w:rPr>
        <w:t>计）、4-氯苯氧乙酸钠、6-苄基腺嘌呤（6-BA）</w:t>
      </w:r>
      <w:r>
        <w:rPr>
          <w:rFonts w:hint="eastAsia" w:ascii="仿宋" w:hAnsi="仿宋" w:eastAsia="仿宋" w:cs="仿宋"/>
          <w:sz w:val="32"/>
          <w:szCs w:val="32"/>
          <w:lang w:val="en-US" w:eastAsia="zh-CN"/>
        </w:rPr>
        <w:t>等</w:t>
      </w:r>
      <w:r>
        <w:rPr>
          <w:rFonts w:hint="eastAsia" w:ascii="仿宋" w:hAnsi="仿宋" w:eastAsia="仿宋" w:cs="仿宋"/>
          <w:bCs/>
          <w:sz w:val="32"/>
          <w:szCs w:val="32"/>
          <w:lang w:val="en-US" w:eastAsia="zh-CN"/>
        </w:rPr>
        <w:t>。</w:t>
      </w:r>
    </w:p>
    <w:p>
      <w:pPr>
        <w:numPr>
          <w:ilvl w:val="0"/>
          <w:numId w:val="0"/>
        </w:num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六、</w:t>
      </w:r>
      <w:r>
        <w:rPr>
          <w:rFonts w:hint="eastAsia" w:ascii="黑体" w:hAnsi="黑体" w:eastAsia="黑体" w:cs="黑体"/>
          <w:sz w:val="32"/>
          <w:szCs w:val="32"/>
          <w:lang w:eastAsia="zh-CN"/>
        </w:rPr>
        <w:t>根茎类和薯芋类蔬菜</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highlight w:val="none"/>
          <w:lang w:eastAsia="zh-CN"/>
        </w:rPr>
        <w:t>抽检依据</w:t>
      </w:r>
    </w:p>
    <w:p>
      <w:pPr>
        <w:autoSpaceDE w:val="0"/>
        <w:autoSpaceDN w:val="0"/>
        <w:adjustRightInd w:val="0"/>
        <w:spacing w:line="640" w:lineRule="exact"/>
        <w:ind w:firstLine="640" w:firstLineChars="200"/>
        <w:rPr>
          <w:rFonts w:hint="eastAsia" w:ascii="仿宋" w:hAnsi="仿宋" w:eastAsia="仿宋" w:cs="仿宋"/>
          <w:sz w:val="32"/>
          <w:szCs w:val="32"/>
          <w:lang w:eastAsia="zh-CN"/>
        </w:rPr>
      </w:pPr>
      <w:r>
        <w:rPr>
          <w:rFonts w:hint="eastAsia" w:ascii="仿宋" w:hAnsi="仿宋" w:eastAsia="仿宋" w:cs="仿宋"/>
          <w:bCs/>
          <w:sz w:val="32"/>
          <w:szCs w:val="32"/>
          <w:lang w:val="en-US" w:eastAsia="zh-CN"/>
        </w:rPr>
        <w:t>抽检依据是</w:t>
      </w:r>
      <w:r>
        <w:rPr>
          <w:rFonts w:hint="eastAsia" w:ascii="仿宋" w:hAnsi="仿宋" w:eastAsia="仿宋" w:cs="仿宋"/>
          <w:sz w:val="32"/>
          <w:szCs w:val="32"/>
        </w:rPr>
        <w:t>GB 2762-2017《食品安全国家标准 食品中污染物限量》</w:t>
      </w:r>
      <w:r>
        <w:rPr>
          <w:rFonts w:hint="eastAsia" w:ascii="仿宋" w:hAnsi="仿宋" w:eastAsia="仿宋" w:cs="仿宋"/>
          <w:sz w:val="32"/>
          <w:szCs w:val="32"/>
          <w:lang w:eastAsia="zh-CN"/>
        </w:rPr>
        <w:t>，GB 2763-2019《食品安全国家标准 食品中农药最大残留限量》。</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检验项目</w:t>
      </w:r>
    </w:p>
    <w:p>
      <w:pPr>
        <w:numPr>
          <w:ilvl w:val="0"/>
          <w:numId w:val="0"/>
        </w:numPr>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sz w:val="32"/>
          <w:szCs w:val="32"/>
          <w:lang w:eastAsia="zh-CN"/>
        </w:rPr>
        <w:t>根茎类和薯芋类蔬菜</w:t>
      </w:r>
      <w:r>
        <w:rPr>
          <w:rFonts w:hint="eastAsia" w:ascii="仿宋" w:hAnsi="仿宋" w:eastAsia="仿宋" w:cs="仿宋"/>
          <w:color w:val="auto"/>
          <w:sz w:val="32"/>
          <w:szCs w:val="32"/>
          <w:highlight w:val="none"/>
        </w:rPr>
        <w:t>抽检项目包括</w:t>
      </w:r>
      <w:r>
        <w:rPr>
          <w:rFonts w:hint="eastAsia" w:ascii="仿宋" w:hAnsi="仿宋" w:eastAsia="仿宋" w:cs="仿宋"/>
          <w:i w:val="0"/>
          <w:color w:val="auto"/>
          <w:kern w:val="0"/>
          <w:sz w:val="32"/>
          <w:szCs w:val="32"/>
          <w:u w:val="none"/>
          <w:lang w:val="en-US" w:eastAsia="zh-CN" w:bidi="ar"/>
        </w:rPr>
        <w:t>氧乐果、氯氟氰菊酯和高效氯氟氰菊酯、克百威</w:t>
      </w:r>
      <w:r>
        <w:rPr>
          <w:rFonts w:hint="eastAsia" w:ascii="仿宋" w:hAnsi="仿宋" w:eastAsia="仿宋" w:cs="仿宋"/>
          <w:sz w:val="32"/>
          <w:szCs w:val="32"/>
          <w:lang w:val="en-US" w:eastAsia="zh-CN"/>
        </w:rPr>
        <w:t>等</w:t>
      </w:r>
      <w:r>
        <w:rPr>
          <w:rFonts w:hint="eastAsia" w:ascii="仿宋" w:hAnsi="仿宋" w:eastAsia="仿宋" w:cs="仿宋"/>
          <w:color w:val="auto"/>
          <w:sz w:val="32"/>
          <w:szCs w:val="32"/>
          <w:highlight w:val="none"/>
          <w:lang w:eastAsia="zh-CN"/>
        </w:rPr>
        <w:t>。</w:t>
      </w:r>
    </w:p>
    <w:p>
      <w:pPr>
        <w:numPr>
          <w:ilvl w:val="0"/>
          <w:numId w:val="0"/>
        </w:numPr>
        <w:ind w:firstLine="640" w:firstLineChars="200"/>
        <w:rPr>
          <w:rFonts w:hint="eastAsia" w:ascii="黑体" w:hAnsi="黑体" w:eastAsia="黑体" w:cs="黑体"/>
          <w:bCs/>
          <w:sz w:val="32"/>
          <w:szCs w:val="32"/>
          <w:lang w:val="en-US" w:eastAsia="zh-CN"/>
        </w:rPr>
      </w:pPr>
      <w:r>
        <w:rPr>
          <w:rFonts w:hint="eastAsia" w:ascii="黑体" w:hAnsi="黑体" w:eastAsia="黑体" w:cs="黑体"/>
          <w:sz w:val="32"/>
          <w:szCs w:val="32"/>
          <w:lang w:val="en-US" w:eastAsia="zh-CN"/>
        </w:rPr>
        <w:t>七、瓜类蔬菜</w:t>
      </w:r>
    </w:p>
    <w:p>
      <w:pPr>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sz w:val="32"/>
          <w:szCs w:val="32"/>
          <w:lang w:eastAsia="zh-CN"/>
        </w:rPr>
        <w:t>（一）抽检依据</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bCs/>
          <w:sz w:val="32"/>
          <w:szCs w:val="32"/>
          <w:lang w:val="en-US" w:eastAsia="zh-CN"/>
        </w:rPr>
        <w:t>抽检依据是</w:t>
      </w:r>
      <w:r>
        <w:rPr>
          <w:rFonts w:hint="eastAsia" w:ascii="仿宋" w:hAnsi="仿宋" w:eastAsia="仿宋" w:cs="仿宋"/>
          <w:sz w:val="32"/>
          <w:szCs w:val="32"/>
        </w:rPr>
        <w:t>GB 2763-2019《食品安全国家标准 食品中农药最大残留限量》。</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检验项目</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i w:val="0"/>
          <w:color w:val="auto"/>
          <w:kern w:val="0"/>
          <w:sz w:val="32"/>
          <w:szCs w:val="32"/>
          <w:u w:val="none"/>
          <w:lang w:val="en-US" w:eastAsia="zh-CN" w:bidi="ar"/>
        </w:rPr>
        <w:t>瓜类蔬菜</w:t>
      </w:r>
      <w:r>
        <w:rPr>
          <w:rFonts w:hint="eastAsia" w:ascii="仿宋" w:hAnsi="仿宋" w:eastAsia="仿宋" w:cs="仿宋"/>
          <w:sz w:val="32"/>
          <w:szCs w:val="32"/>
        </w:rPr>
        <w:t>抽检项目包括</w:t>
      </w:r>
      <w:r>
        <w:rPr>
          <w:rFonts w:hint="eastAsia" w:ascii="仿宋" w:hAnsi="仿宋" w:eastAsia="仿宋" w:cs="仿宋"/>
          <w:i w:val="0"/>
          <w:color w:val="auto"/>
          <w:kern w:val="0"/>
          <w:sz w:val="32"/>
          <w:szCs w:val="32"/>
          <w:u w:val="none"/>
          <w:lang w:val="en-US" w:eastAsia="zh-CN" w:bidi="ar"/>
        </w:rPr>
        <w:t>克百威、氧乐果、毒死蜱</w:t>
      </w:r>
      <w:r>
        <w:rPr>
          <w:rFonts w:hint="eastAsia" w:ascii="仿宋" w:hAnsi="仿宋" w:eastAsia="仿宋" w:cs="仿宋"/>
          <w:sz w:val="32"/>
          <w:szCs w:val="32"/>
          <w:lang w:eastAsia="zh-CN"/>
        </w:rPr>
        <w:t>等。</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八、鳞茎类蔬菜</w:t>
      </w:r>
    </w:p>
    <w:p>
      <w:pPr>
        <w:pStyle w:val="2"/>
        <w:numPr>
          <w:ilvl w:val="0"/>
          <w:numId w:val="3"/>
        </w:numPr>
        <w:ind w:left="58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抽检依据</w:t>
      </w:r>
    </w:p>
    <w:p>
      <w:pPr>
        <w:pStyle w:val="2"/>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抽检依据是GB 2763-2019《食品安全国家标准 食品中农药最大残留限量》。</w:t>
      </w:r>
    </w:p>
    <w:p>
      <w:pPr>
        <w:pStyle w:val="2"/>
        <w:numPr>
          <w:ilvl w:val="0"/>
          <w:numId w:val="3"/>
        </w:numPr>
        <w:ind w:left="580" w:leftChars="0" w:firstLine="0" w:firstLineChars="0"/>
        <w:rPr>
          <w:rFonts w:hint="eastAsia" w:ascii="仿宋" w:hAnsi="仿宋" w:eastAsia="仿宋" w:cs="仿宋"/>
          <w:sz w:val="32"/>
          <w:szCs w:val="32"/>
        </w:rPr>
      </w:pPr>
      <w:r>
        <w:rPr>
          <w:rFonts w:hint="eastAsia" w:ascii="仿宋" w:hAnsi="仿宋" w:eastAsia="仿宋" w:cs="仿宋"/>
          <w:sz w:val="32"/>
          <w:szCs w:val="32"/>
        </w:rPr>
        <w:t>检验项目</w:t>
      </w:r>
    </w:p>
    <w:p>
      <w:pPr>
        <w:pStyle w:val="2"/>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i w:val="0"/>
          <w:color w:val="auto"/>
          <w:kern w:val="0"/>
          <w:sz w:val="32"/>
          <w:szCs w:val="32"/>
          <w:u w:val="none"/>
          <w:lang w:val="en-US" w:eastAsia="zh-CN" w:bidi="ar"/>
        </w:rPr>
        <w:t>鳞茎类蔬菜</w:t>
      </w:r>
      <w:r>
        <w:rPr>
          <w:rFonts w:hint="eastAsia" w:ascii="仿宋" w:hAnsi="仿宋" w:eastAsia="仿宋" w:cs="仿宋"/>
          <w:sz w:val="32"/>
          <w:szCs w:val="32"/>
        </w:rPr>
        <w:t>检项目包括</w:t>
      </w:r>
      <w:r>
        <w:rPr>
          <w:rFonts w:hint="eastAsia" w:ascii="仿宋" w:hAnsi="仿宋" w:eastAsia="仿宋" w:cs="仿宋"/>
          <w:i w:val="0"/>
          <w:color w:val="auto"/>
          <w:kern w:val="0"/>
          <w:sz w:val="32"/>
          <w:szCs w:val="32"/>
          <w:u w:val="none"/>
          <w:lang w:val="en-US" w:eastAsia="zh-CN" w:bidi="ar"/>
        </w:rPr>
        <w:t>腐霉利、毒死蜱、氧乐果、克百威、甲拌磷、氯氟氰菊酯和高效氯氟氰菊酯、灭线磷</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w:t>
      </w:r>
    </w:p>
    <w:p>
      <w:pPr>
        <w:pStyle w:val="2"/>
        <w:numPr>
          <w:ilvl w:val="0"/>
          <w:numId w:val="4"/>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水生类蔬菜</w:t>
      </w:r>
    </w:p>
    <w:p>
      <w:pPr>
        <w:pStyle w:val="2"/>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（一）抽检依据</w:t>
      </w:r>
    </w:p>
    <w:p>
      <w:pPr>
        <w:pStyle w:val="2"/>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抽检依据是GB 2763-2019《食品安全国家标准 食品中农药最大残留限量》</w:t>
      </w:r>
      <w:r>
        <w:rPr>
          <w:rFonts w:hint="eastAsia" w:ascii="仿宋" w:hAnsi="仿宋" w:cs="仿宋"/>
          <w:bCs/>
          <w:sz w:val="32"/>
          <w:szCs w:val="32"/>
          <w:lang w:val="en-US" w:eastAsia="zh-CN"/>
        </w:rPr>
        <w:t>。</w:t>
      </w:r>
    </w:p>
    <w:p>
      <w:pPr>
        <w:pStyle w:val="2"/>
        <w:numPr>
          <w:ilvl w:val="0"/>
          <w:numId w:val="0"/>
        </w:numPr>
        <w:ind w:left="580" w:leftChars="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检验项目</w:t>
      </w:r>
    </w:p>
    <w:p>
      <w:pPr>
        <w:pStyle w:val="2"/>
        <w:numPr>
          <w:ilvl w:val="0"/>
          <w:numId w:val="0"/>
        </w:numPr>
        <w:ind w:left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i w:val="0"/>
          <w:color w:val="auto"/>
          <w:kern w:val="0"/>
          <w:sz w:val="32"/>
          <w:szCs w:val="32"/>
          <w:u w:val="none"/>
          <w:lang w:val="en-US" w:eastAsia="zh-CN" w:bidi="ar"/>
        </w:rPr>
        <w:t>水生类蔬菜</w:t>
      </w:r>
      <w:r>
        <w:rPr>
          <w:rFonts w:hint="eastAsia" w:ascii="仿宋" w:hAnsi="仿宋" w:eastAsia="仿宋" w:cs="仿宋"/>
          <w:sz w:val="32"/>
          <w:szCs w:val="32"/>
          <w:lang w:val="en-US" w:eastAsia="zh-CN"/>
        </w:rPr>
        <w:t>抽检</w:t>
      </w:r>
      <w:r>
        <w:rPr>
          <w:rFonts w:hint="eastAsia" w:ascii="仿宋" w:hAnsi="仿宋" w:eastAsia="仿宋" w:cs="仿宋"/>
          <w:sz w:val="32"/>
          <w:szCs w:val="32"/>
        </w:rPr>
        <w:t>项目包括</w:t>
      </w:r>
      <w:r>
        <w:rPr>
          <w:rFonts w:hint="eastAsia" w:ascii="仿宋" w:hAnsi="仿宋" w:eastAsia="仿宋" w:cs="仿宋"/>
          <w:i w:val="0"/>
          <w:color w:val="auto"/>
          <w:kern w:val="0"/>
          <w:sz w:val="32"/>
          <w:szCs w:val="32"/>
          <w:u w:val="none"/>
          <w:lang w:val="en-US" w:eastAsia="zh-CN" w:bidi="ar"/>
        </w:rPr>
        <w:t>敌百虫、氧乐果、克百威</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w:t>
      </w:r>
    </w:p>
    <w:p>
      <w:pPr>
        <w:pStyle w:val="2"/>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十、叶菜类蔬菜</w:t>
      </w:r>
    </w:p>
    <w:p>
      <w:pPr>
        <w:pStyle w:val="2"/>
        <w:numPr>
          <w:ilvl w:val="0"/>
          <w:numId w:val="0"/>
        </w:numPr>
        <w:ind w:left="580" w:leftChars="0"/>
        <w:rPr>
          <w:rFonts w:hint="eastAsia" w:ascii="仿宋" w:hAnsi="仿宋" w:eastAsia="仿宋" w:cs="仿宋"/>
          <w:sz w:val="32"/>
          <w:szCs w:val="32"/>
          <w:lang w:eastAsia="zh-CN"/>
        </w:rPr>
      </w:pPr>
      <w:r>
        <w:rPr>
          <w:rFonts w:hint="eastAsia" w:ascii="仿宋" w:hAnsi="仿宋" w:eastAsia="仿宋" w:cs="仿宋"/>
          <w:sz w:val="32"/>
          <w:szCs w:val="32"/>
          <w:lang w:eastAsia="zh-CN"/>
        </w:rPr>
        <w:t>（一）抽检依据</w:t>
      </w:r>
    </w:p>
    <w:p>
      <w:pPr>
        <w:pStyle w:val="2"/>
        <w:numPr>
          <w:ilvl w:val="0"/>
          <w:numId w:val="0"/>
        </w:numPr>
        <w:ind w:firstLine="640" w:firstLineChars="200"/>
        <w:rPr>
          <w:rFonts w:hint="eastAsia" w:ascii="仿宋" w:hAnsi="仿宋" w:cs="仿宋"/>
          <w:bCs/>
          <w:sz w:val="32"/>
          <w:szCs w:val="32"/>
          <w:lang w:val="en-US" w:eastAsia="zh-CN"/>
        </w:rPr>
      </w:pPr>
      <w:r>
        <w:rPr>
          <w:rFonts w:hint="eastAsia" w:ascii="仿宋" w:hAnsi="仿宋" w:eastAsia="仿宋" w:cs="仿宋"/>
          <w:bCs/>
          <w:sz w:val="32"/>
          <w:szCs w:val="32"/>
          <w:lang w:val="en-US" w:eastAsia="zh-CN"/>
        </w:rPr>
        <w:t>抽检依据是GB 2763-2019《食品安全国家标准 食品中农药最大残留限量》</w:t>
      </w:r>
      <w:r>
        <w:rPr>
          <w:rFonts w:hint="eastAsia" w:ascii="仿宋" w:hAnsi="仿宋" w:cs="仿宋"/>
          <w:bCs/>
          <w:sz w:val="32"/>
          <w:szCs w:val="32"/>
          <w:lang w:val="en-US" w:eastAsia="zh-CN"/>
        </w:rPr>
        <w:t>。</w:t>
      </w:r>
    </w:p>
    <w:p>
      <w:pPr>
        <w:pStyle w:val="2"/>
        <w:numPr>
          <w:ilvl w:val="0"/>
          <w:numId w:val="0"/>
        </w:numPr>
        <w:ind w:left="580" w:leftChars="0"/>
        <w:rPr>
          <w:rFonts w:hint="eastAsia" w:ascii="仿宋" w:hAnsi="仿宋" w:eastAsia="仿宋" w:cs="仿宋"/>
          <w:sz w:val="32"/>
          <w:szCs w:val="32"/>
        </w:rPr>
      </w:pPr>
      <w:r>
        <w:rPr>
          <w:rFonts w:hint="eastAsia" w:ascii="仿宋" w:hAnsi="仿宋" w:cs="仿宋"/>
          <w:sz w:val="32"/>
          <w:szCs w:val="32"/>
          <w:lang w:eastAsia="zh-CN"/>
        </w:rPr>
        <w:t>（二）</w:t>
      </w:r>
      <w:r>
        <w:rPr>
          <w:rFonts w:hint="eastAsia" w:ascii="仿宋" w:hAnsi="仿宋" w:eastAsia="仿宋" w:cs="仿宋"/>
          <w:sz w:val="32"/>
          <w:szCs w:val="32"/>
        </w:rPr>
        <w:t>检验项目</w:t>
      </w:r>
    </w:p>
    <w:p>
      <w:pPr>
        <w:pStyle w:val="2"/>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叶菜类蔬菜抽检</w:t>
      </w:r>
      <w:r>
        <w:rPr>
          <w:rFonts w:hint="eastAsia" w:ascii="仿宋" w:hAnsi="仿宋" w:eastAsia="仿宋" w:cs="仿宋"/>
          <w:sz w:val="32"/>
          <w:szCs w:val="32"/>
        </w:rPr>
        <w:t>项目包括</w:t>
      </w:r>
      <w:r>
        <w:rPr>
          <w:rFonts w:hint="eastAsia" w:ascii="仿宋" w:hAnsi="仿宋" w:eastAsia="仿宋" w:cs="仿宋"/>
          <w:i w:val="0"/>
          <w:color w:val="auto"/>
          <w:kern w:val="0"/>
          <w:sz w:val="32"/>
          <w:szCs w:val="32"/>
          <w:u w:val="none"/>
          <w:lang w:val="en-US" w:eastAsia="zh-CN" w:bidi="ar"/>
        </w:rPr>
        <w:t>阿维菌素、毒死蜱、氟虫腈、氧乐果、克百威、氯氰菊酯和高效氯氰菊酯、甲拌磷、甲基异柳磷、敌敌畏、甲胺磷</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w:t>
      </w:r>
    </w:p>
    <w:p>
      <w:pPr>
        <w:pStyle w:val="2"/>
        <w:numPr>
          <w:ilvl w:val="0"/>
          <w:numId w:val="0"/>
        </w:num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lang w:eastAsia="zh-CN"/>
        </w:rPr>
        <w:t>十一、海水产品</w:t>
      </w:r>
    </w:p>
    <w:p>
      <w:pPr>
        <w:pStyle w:val="2"/>
        <w:numPr>
          <w:ilvl w:val="0"/>
          <w:numId w:val="0"/>
        </w:numPr>
        <w:ind w:left="580" w:leftChars="0"/>
        <w:rPr>
          <w:rFonts w:hint="eastAsia" w:ascii="仿宋" w:hAnsi="仿宋" w:eastAsia="仿宋" w:cs="仿宋"/>
          <w:sz w:val="32"/>
          <w:szCs w:val="32"/>
          <w:lang w:eastAsia="zh-CN"/>
        </w:rPr>
      </w:pPr>
      <w:r>
        <w:rPr>
          <w:rFonts w:hint="eastAsia" w:ascii="仿宋" w:hAnsi="仿宋" w:eastAsia="仿宋" w:cs="仿宋"/>
          <w:sz w:val="32"/>
          <w:szCs w:val="32"/>
          <w:lang w:eastAsia="zh-CN"/>
        </w:rPr>
        <w:t>（一）抽检依据</w:t>
      </w:r>
    </w:p>
    <w:p>
      <w:pPr>
        <w:pStyle w:val="2"/>
        <w:numPr>
          <w:ilvl w:val="0"/>
          <w:numId w:val="0"/>
        </w:numPr>
        <w:ind w:left="0" w:leftChars="0" w:firstLine="579" w:firstLineChars="181"/>
        <w:rPr>
          <w:rFonts w:hint="eastAsia" w:ascii="仿宋" w:hAnsi="仿宋" w:eastAsia="仿宋" w:cs="仿宋"/>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Cs/>
          <w:sz w:val="32"/>
          <w:szCs w:val="32"/>
          <w:lang w:val="en-US" w:eastAsia="zh-CN"/>
        </w:rPr>
        <w:t>抽检依据是GB 2762-2017《食品安全国家标准 食品中污染物限量》,农业农村部公告第250号《食品动物中禁止使用的药品及其他化合物清单》，GB 31650-2019《食品安全国家标准 食品中兽药最大残留限量》,农业部公告第 2292 号《发布在食品动物中停止使用洛美沙星、培氟沙星、氧氟沙星、诺氟沙星4种兽药的决定》,农业农村部公告第250号《食品动物中禁止使用的药品及其他化合物清单》。</w:t>
      </w:r>
    </w:p>
    <w:p>
      <w:pPr>
        <w:pStyle w:val="2"/>
        <w:numPr>
          <w:numId w:val="0"/>
        </w:numPr>
        <w:ind w:left="580" w:leftChars="0"/>
        <w:rPr>
          <w:rFonts w:hint="eastAsia" w:ascii="仿宋" w:hAnsi="仿宋" w:eastAsia="仿宋" w:cs="仿宋"/>
          <w:sz w:val="32"/>
          <w:szCs w:val="32"/>
        </w:rPr>
      </w:pPr>
      <w:r>
        <w:rPr>
          <w:rFonts w:hint="eastAsia" w:ascii="仿宋" w:hAnsi="仿宋" w:cs="仿宋"/>
          <w:sz w:val="32"/>
          <w:szCs w:val="32"/>
          <w:lang w:eastAsia="zh-CN"/>
        </w:rPr>
        <w:t>（二</w:t>
      </w:r>
      <w:bookmarkStart w:id="0" w:name="_GoBack"/>
      <w:bookmarkEnd w:id="0"/>
      <w:r>
        <w:rPr>
          <w:rFonts w:hint="eastAsia" w:ascii="仿宋" w:hAnsi="仿宋" w:cs="仿宋"/>
          <w:sz w:val="32"/>
          <w:szCs w:val="32"/>
          <w:lang w:eastAsia="zh-CN"/>
        </w:rPr>
        <w:t>）</w:t>
      </w:r>
      <w:r>
        <w:rPr>
          <w:rFonts w:hint="eastAsia" w:ascii="仿宋" w:hAnsi="仿宋" w:eastAsia="仿宋" w:cs="仿宋"/>
          <w:sz w:val="32"/>
          <w:szCs w:val="32"/>
        </w:rPr>
        <w:t>检验项目</w:t>
      </w:r>
    </w:p>
    <w:p>
      <w:pPr>
        <w:pStyle w:val="2"/>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i w:val="0"/>
          <w:color w:val="auto"/>
          <w:kern w:val="0"/>
          <w:sz w:val="32"/>
          <w:szCs w:val="32"/>
          <w:u w:val="none"/>
          <w:lang w:val="en-US" w:eastAsia="zh-CN" w:bidi="ar"/>
        </w:rPr>
        <w:t>海水产品</w:t>
      </w:r>
      <w:r>
        <w:rPr>
          <w:rFonts w:hint="eastAsia" w:ascii="仿宋" w:hAnsi="仿宋" w:eastAsia="仿宋" w:cs="仿宋"/>
          <w:sz w:val="32"/>
          <w:szCs w:val="32"/>
          <w:lang w:val="en-US" w:eastAsia="zh-CN"/>
        </w:rPr>
        <w:t>蔬菜抽检</w:t>
      </w:r>
      <w:r>
        <w:rPr>
          <w:rFonts w:hint="eastAsia" w:ascii="仿宋" w:hAnsi="仿宋" w:eastAsia="仿宋" w:cs="仿宋"/>
          <w:sz w:val="32"/>
          <w:szCs w:val="32"/>
        </w:rPr>
        <w:t>项目包括</w:t>
      </w:r>
      <w:r>
        <w:rPr>
          <w:rFonts w:hint="eastAsia" w:ascii="仿宋" w:hAnsi="仿宋" w:eastAsia="仿宋" w:cs="仿宋"/>
          <w:i w:val="0"/>
          <w:color w:val="auto"/>
          <w:kern w:val="0"/>
          <w:sz w:val="32"/>
          <w:szCs w:val="32"/>
          <w:u w:val="none"/>
          <w:lang w:val="en-US" w:eastAsia="zh-CN" w:bidi="ar"/>
        </w:rPr>
        <w:t>恩诺沙星、氧氟沙星、呋喃唑酮代谢物、呋喃西林代谢物、镉（以Cd计）、氧氟沙星</w:t>
      </w:r>
      <w:r>
        <w:rPr>
          <w:rFonts w:hint="eastAsia" w:ascii="仿宋" w:hAnsi="仿宋" w:eastAsia="仿宋" w:cs="仿宋"/>
          <w:sz w:val="32"/>
          <w:szCs w:val="32"/>
          <w:lang w:eastAsia="zh-CN"/>
        </w:rPr>
        <w:t>。</w:t>
      </w:r>
    </w:p>
    <w:p>
      <w:pPr>
        <w:pStyle w:val="2"/>
        <w:numPr>
          <w:ilvl w:val="0"/>
          <w:numId w:val="5"/>
        </w:numPr>
        <w:ind w:leftChars="200"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鲜蛋</w:t>
      </w:r>
    </w:p>
    <w:p>
      <w:pPr>
        <w:pStyle w:val="2"/>
        <w:numPr>
          <w:ilvl w:val="0"/>
          <w:numId w:val="0"/>
        </w:numPr>
        <w:ind w:leftChars="300"/>
        <w:rPr>
          <w:rFonts w:hint="eastAsia" w:ascii="仿宋" w:hAnsi="仿宋" w:eastAsia="仿宋" w:cs="仿宋"/>
          <w:sz w:val="32"/>
          <w:szCs w:val="32"/>
          <w:lang w:eastAsia="zh-CN"/>
        </w:rPr>
      </w:pPr>
      <w:r>
        <w:rPr>
          <w:rFonts w:hint="eastAsia" w:ascii="仿宋" w:hAnsi="仿宋" w:eastAsia="仿宋" w:cs="仿宋"/>
          <w:sz w:val="32"/>
          <w:szCs w:val="32"/>
          <w:lang w:eastAsia="zh-CN"/>
        </w:rPr>
        <w:t>（一）抽检依据</w:t>
      </w:r>
    </w:p>
    <w:p>
      <w:pPr>
        <w:pStyle w:val="2"/>
        <w:numPr>
          <w:ilvl w:val="0"/>
          <w:numId w:val="0"/>
        </w:numPr>
        <w:ind w:left="0" w:leftChars="0" w:firstLine="579" w:firstLineChars="181"/>
        <w:rPr>
          <w:rFonts w:hint="eastAsia" w:ascii="仿宋" w:hAnsi="仿宋" w:eastAsia="仿宋" w:cs="仿宋"/>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Cs/>
          <w:sz w:val="32"/>
          <w:szCs w:val="32"/>
          <w:lang w:val="en-US" w:eastAsia="zh-CN"/>
        </w:rPr>
        <w:t>抽检依据是GB 31650-2019《食品安全国家标准 食品中兽药最大残留限量》,农业部公告第 2292 号《发布在食品动物中停止使用洛美沙星、培氟沙星、氧氟沙星、诺氟沙星4种兽药的决定》。</w:t>
      </w:r>
    </w:p>
    <w:p>
      <w:pPr>
        <w:pStyle w:val="2"/>
        <w:numPr>
          <w:ilvl w:val="0"/>
          <w:numId w:val="0"/>
        </w:numPr>
        <w:ind w:left="580" w:leftChars="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检验项目</w:t>
      </w:r>
    </w:p>
    <w:p>
      <w:pPr>
        <w:pStyle w:val="2"/>
        <w:numPr>
          <w:ilvl w:val="0"/>
          <w:numId w:val="0"/>
        </w:numPr>
        <w:ind w:leftChars="200"/>
        <w:rPr>
          <w:rFonts w:hint="eastAsia" w:ascii="仿宋" w:hAnsi="仿宋" w:cs="仿宋"/>
          <w:sz w:val="32"/>
          <w:szCs w:val="32"/>
          <w:lang w:val="en-US" w:eastAsia="zh-CN"/>
        </w:rPr>
      </w:pPr>
      <w:r>
        <w:rPr>
          <w:rFonts w:hint="eastAsia" w:ascii="仿宋" w:hAnsi="仿宋" w:eastAsia="仿宋" w:cs="仿宋"/>
          <w:sz w:val="32"/>
          <w:szCs w:val="32"/>
          <w:lang w:val="en-US" w:eastAsia="zh-CN"/>
        </w:rPr>
        <w:t xml:space="preserve">  鲜蛋抽检</w:t>
      </w:r>
      <w:r>
        <w:rPr>
          <w:rFonts w:hint="eastAsia" w:ascii="仿宋" w:hAnsi="仿宋" w:eastAsia="仿宋" w:cs="仿宋"/>
          <w:sz w:val="32"/>
          <w:szCs w:val="32"/>
        </w:rPr>
        <w:t>项目包括</w:t>
      </w:r>
      <w:r>
        <w:rPr>
          <w:rFonts w:hint="eastAsia" w:ascii="仿宋" w:hAnsi="仿宋" w:eastAsia="仿宋" w:cs="仿宋"/>
          <w:i w:val="0"/>
          <w:color w:val="auto"/>
          <w:kern w:val="0"/>
          <w:sz w:val="32"/>
          <w:szCs w:val="32"/>
          <w:u w:val="none"/>
          <w:lang w:val="en-US" w:eastAsia="zh-CN" w:bidi="ar"/>
        </w:rPr>
        <w:t>恩诺沙星、氧氟沙星、诺氟沙星</w:t>
      </w:r>
      <w:r>
        <w:rPr>
          <w:rFonts w:hint="eastAsia" w:ascii="仿宋" w:hAnsi="仿宋" w:eastAsia="仿宋" w:cs="仿宋"/>
          <w:sz w:val="32"/>
          <w:szCs w:val="32"/>
          <w:lang w:val="en-US" w:eastAsia="zh-CN"/>
        </w:rPr>
        <w:t>等</w:t>
      </w:r>
      <w:r>
        <w:rPr>
          <w:rFonts w:hint="eastAsia" w:ascii="仿宋" w:hAnsi="仿宋" w:cs="仿宋"/>
          <w:sz w:val="32"/>
          <w:szCs w:val="32"/>
          <w:lang w:val="en-US" w:eastAsia="zh-CN"/>
        </w:rPr>
        <w:t>。</w:t>
      </w:r>
    </w:p>
    <w:p>
      <w:pPr>
        <w:pStyle w:val="2"/>
        <w:numPr>
          <w:ilvl w:val="0"/>
          <w:numId w:val="0"/>
        </w:numPr>
        <w:ind w:left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十三、淡水产品</w:t>
      </w:r>
    </w:p>
    <w:p>
      <w:pPr>
        <w:pStyle w:val="2"/>
        <w:numPr>
          <w:ilvl w:val="0"/>
          <w:numId w:val="0"/>
        </w:numPr>
        <w:ind w:leftChars="200"/>
        <w:rPr>
          <w:rFonts w:hint="eastAsia" w:ascii="仿宋" w:hAnsi="仿宋" w:eastAsia="仿宋" w:cs="仿宋"/>
          <w:sz w:val="32"/>
          <w:szCs w:val="32"/>
          <w:lang w:eastAsia="zh-CN"/>
        </w:rPr>
      </w:pPr>
      <w:r>
        <w:rPr>
          <w:rFonts w:hint="eastAsia" w:ascii="仿宋" w:hAnsi="仿宋" w:eastAsia="仿宋" w:cs="仿宋"/>
          <w:sz w:val="32"/>
          <w:szCs w:val="32"/>
          <w:lang w:eastAsia="zh-CN"/>
        </w:rPr>
        <w:t>（一）抽检依据</w:t>
      </w:r>
    </w:p>
    <w:p>
      <w:pPr>
        <w:pStyle w:val="2"/>
        <w:numPr>
          <w:ilvl w:val="0"/>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抽检依据是农业农村部公告第250号《食品动物中禁止使用的药品及其他化合物清单》,GB 31650-2019《食品安全国家标准 食品中兽药最大残留限量》,农业部公告第 2292 号《发布在食品动物中停止使用洛美沙星、培氟沙星、氧氟沙星、诺氟沙星4种兽药的决定》。</w:t>
      </w:r>
    </w:p>
    <w:p>
      <w:pPr>
        <w:pStyle w:val="2"/>
        <w:numPr>
          <w:ilvl w:val="0"/>
          <w:numId w:val="6"/>
        </w:numPr>
        <w:ind w:firstLine="640" w:firstLineChars="200"/>
        <w:rPr>
          <w:rFonts w:hint="eastAsia" w:ascii="仿宋" w:hAnsi="仿宋" w:eastAsia="仿宋" w:cs="仿宋"/>
          <w:sz w:val="32"/>
          <w:szCs w:val="32"/>
        </w:rPr>
      </w:pPr>
      <w:r>
        <w:rPr>
          <w:rFonts w:hint="eastAsia" w:ascii="仿宋" w:hAnsi="仿宋" w:eastAsia="仿宋" w:cs="仿宋"/>
          <w:sz w:val="32"/>
          <w:szCs w:val="32"/>
        </w:rPr>
        <w:t>检验项目</w:t>
      </w:r>
    </w:p>
    <w:p>
      <w:pPr>
        <w:pStyle w:val="2"/>
        <w:numPr>
          <w:ilvl w:val="0"/>
          <w:numId w:val="0"/>
        </w:numPr>
        <w:ind w:firstLine="640" w:firstLineChars="200"/>
        <w:rPr>
          <w:rFonts w:hint="eastAsia" w:ascii="仿宋" w:hAnsi="仿宋" w:eastAsia="仿宋" w:cs="仿宋"/>
          <w:sz w:val="32"/>
          <w:szCs w:val="32"/>
          <w:lang w:eastAsia="zh-CN"/>
        </w:rPr>
      </w:pPr>
      <w:r>
        <w:rPr>
          <w:rFonts w:hint="eastAsia" w:ascii="仿宋" w:hAnsi="仿宋" w:cs="仿宋"/>
          <w:sz w:val="32"/>
          <w:szCs w:val="32"/>
          <w:lang w:val="en-US" w:eastAsia="zh-CN"/>
        </w:rPr>
        <w:t>淡水鱼</w:t>
      </w:r>
      <w:r>
        <w:rPr>
          <w:rFonts w:hint="eastAsia" w:ascii="仿宋" w:hAnsi="仿宋" w:eastAsia="仿宋" w:cs="仿宋"/>
          <w:sz w:val="32"/>
          <w:szCs w:val="32"/>
          <w:lang w:val="en-US" w:eastAsia="zh-CN"/>
        </w:rPr>
        <w:t>抽检</w:t>
      </w:r>
      <w:r>
        <w:rPr>
          <w:rFonts w:hint="eastAsia" w:ascii="仿宋" w:hAnsi="仿宋" w:eastAsia="仿宋" w:cs="仿宋"/>
          <w:sz w:val="32"/>
          <w:szCs w:val="32"/>
        </w:rPr>
        <w:t>项目包括</w:t>
      </w:r>
      <w:r>
        <w:rPr>
          <w:rFonts w:hint="eastAsia" w:ascii="仿宋" w:hAnsi="仿宋" w:eastAsia="仿宋" w:cs="仿宋"/>
          <w:i w:val="0"/>
          <w:color w:val="auto"/>
          <w:kern w:val="0"/>
          <w:sz w:val="32"/>
          <w:szCs w:val="32"/>
          <w:u w:val="none"/>
          <w:lang w:val="en-US" w:eastAsia="zh-CN" w:bidi="ar"/>
        </w:rPr>
        <w:t>孔雀石绿,呋喃唑酮代谢物,恩诺沙星,氧氟沙星,地西泮,氯霉素,氟苯尼考,五氯酚酸钠(以五氯酚计)</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w:t>
      </w:r>
    </w:p>
    <w:p>
      <w:pPr>
        <w:pStyle w:val="2"/>
        <w:numPr>
          <w:ilvl w:val="0"/>
          <w:numId w:val="0"/>
        </w:numPr>
        <w:ind w:left="580" w:leftChars="0"/>
        <w:rPr>
          <w:rFonts w:hint="eastAsia" w:ascii="仿宋" w:hAnsi="仿宋" w:eastAsia="仿宋" w:cs="仿宋"/>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nQuanYi Micro Hei">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E3F0"/>
    <w:multiLevelType w:val="singleLevel"/>
    <w:tmpl w:val="B66AE3F0"/>
    <w:lvl w:ilvl="0" w:tentative="0">
      <w:start w:val="1"/>
      <w:numFmt w:val="chineseCounting"/>
      <w:suff w:val="nothing"/>
      <w:lvlText w:val="（%1）"/>
      <w:lvlJc w:val="left"/>
      <w:pPr>
        <w:ind w:left="580" w:leftChars="0" w:firstLine="0" w:firstLineChars="0"/>
      </w:pPr>
      <w:rPr>
        <w:rFonts w:hint="eastAsia"/>
      </w:rPr>
    </w:lvl>
  </w:abstractNum>
  <w:abstractNum w:abstractNumId="1">
    <w:nsid w:val="BB353768"/>
    <w:multiLevelType w:val="singleLevel"/>
    <w:tmpl w:val="BB353768"/>
    <w:lvl w:ilvl="0" w:tentative="0">
      <w:start w:val="1"/>
      <w:numFmt w:val="chineseCounting"/>
      <w:suff w:val="nothing"/>
      <w:lvlText w:val="（%1）"/>
      <w:lvlJc w:val="left"/>
      <w:rPr>
        <w:rFonts w:hint="eastAsia"/>
      </w:rPr>
    </w:lvl>
  </w:abstractNum>
  <w:abstractNum w:abstractNumId="2">
    <w:nsid w:val="0DA1565B"/>
    <w:multiLevelType w:val="singleLevel"/>
    <w:tmpl w:val="0DA1565B"/>
    <w:lvl w:ilvl="0" w:tentative="0">
      <w:start w:val="2"/>
      <w:numFmt w:val="chineseCounting"/>
      <w:suff w:val="nothing"/>
      <w:lvlText w:val="（%1）"/>
      <w:lvlJc w:val="left"/>
      <w:rPr>
        <w:rFonts w:hint="eastAsia"/>
      </w:rPr>
    </w:lvl>
  </w:abstractNum>
  <w:abstractNum w:abstractNumId="3">
    <w:nsid w:val="1167FCC8"/>
    <w:multiLevelType w:val="singleLevel"/>
    <w:tmpl w:val="1167FCC8"/>
    <w:lvl w:ilvl="0" w:tentative="0">
      <w:start w:val="1"/>
      <w:numFmt w:val="chineseCounting"/>
      <w:suff w:val="nothing"/>
      <w:lvlText w:val="%1、"/>
      <w:lvlJc w:val="left"/>
      <w:rPr>
        <w:rFonts w:hint="eastAsia"/>
      </w:rPr>
    </w:lvl>
  </w:abstractNum>
  <w:abstractNum w:abstractNumId="4">
    <w:nsid w:val="19F74455"/>
    <w:multiLevelType w:val="singleLevel"/>
    <w:tmpl w:val="19F74455"/>
    <w:lvl w:ilvl="0" w:tentative="0">
      <w:start w:val="9"/>
      <w:numFmt w:val="chineseCounting"/>
      <w:suff w:val="nothing"/>
      <w:lvlText w:val="%1、"/>
      <w:lvlJc w:val="left"/>
      <w:rPr>
        <w:rFonts w:hint="eastAsia"/>
      </w:rPr>
    </w:lvl>
  </w:abstractNum>
  <w:abstractNum w:abstractNumId="5">
    <w:nsid w:val="6E96F3AF"/>
    <w:multiLevelType w:val="singleLevel"/>
    <w:tmpl w:val="6E96F3AF"/>
    <w:lvl w:ilvl="0" w:tentative="0">
      <w:start w:val="12"/>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0778A"/>
    <w:rsid w:val="02001F91"/>
    <w:rsid w:val="03456787"/>
    <w:rsid w:val="06016BD5"/>
    <w:rsid w:val="06837B1E"/>
    <w:rsid w:val="07230380"/>
    <w:rsid w:val="09061740"/>
    <w:rsid w:val="09C0778A"/>
    <w:rsid w:val="1419591E"/>
    <w:rsid w:val="18EC568B"/>
    <w:rsid w:val="1C8424B0"/>
    <w:rsid w:val="1D994F65"/>
    <w:rsid w:val="1E465360"/>
    <w:rsid w:val="20C86F40"/>
    <w:rsid w:val="295E766F"/>
    <w:rsid w:val="29732664"/>
    <w:rsid w:val="29C32E6C"/>
    <w:rsid w:val="331A2FF8"/>
    <w:rsid w:val="3AC62940"/>
    <w:rsid w:val="3DA24C53"/>
    <w:rsid w:val="477B626A"/>
    <w:rsid w:val="4FAD63D5"/>
    <w:rsid w:val="4FD92C99"/>
    <w:rsid w:val="526F5225"/>
    <w:rsid w:val="5580513B"/>
    <w:rsid w:val="58761219"/>
    <w:rsid w:val="59BD4CA6"/>
    <w:rsid w:val="5DD22DCA"/>
    <w:rsid w:val="643023EE"/>
    <w:rsid w:val="65F40F70"/>
    <w:rsid w:val="679E0A0D"/>
    <w:rsid w:val="69911653"/>
    <w:rsid w:val="6B7F5914"/>
    <w:rsid w:val="6D6B6BBF"/>
    <w:rsid w:val="75B54591"/>
    <w:rsid w:val="7A2D7DF2"/>
    <w:rsid w:val="7D724AC3"/>
    <w:rsid w:val="7E9E3BD5"/>
    <w:rsid w:val="7EDF5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WenQuanYi Micro Hei" w:hAnsi="WenQuanYi Micro Hei" w:eastAsia="仿宋" w:cs="WenQuanYi Micro Hei"/>
      <w:sz w:val="22"/>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81"/>
    <w:basedOn w:val="6"/>
    <w:qFormat/>
    <w:uiPriority w:val="0"/>
    <w:rPr>
      <w:rFonts w:hint="eastAsia" w:ascii="宋体" w:hAnsi="宋体" w:eastAsia="宋体" w:cs="宋体"/>
      <w:b/>
      <w:color w:val="000000"/>
      <w:sz w:val="36"/>
      <w:szCs w:val="36"/>
      <w:u w:val="none"/>
    </w:rPr>
  </w:style>
  <w:style w:type="character" w:customStyle="1" w:styleId="8">
    <w:name w:val="font61"/>
    <w:basedOn w:val="6"/>
    <w:qFormat/>
    <w:uiPriority w:val="0"/>
    <w:rPr>
      <w:rFonts w:ascii="Arial" w:hAnsi="Arial" w:cs="Arial"/>
      <w:b/>
      <w:color w:val="000000"/>
      <w:sz w:val="36"/>
      <w:szCs w:val="36"/>
      <w:u w:val="none"/>
    </w:rPr>
  </w:style>
  <w:style w:type="character" w:customStyle="1" w:styleId="9">
    <w:name w:val="font91"/>
    <w:basedOn w:val="6"/>
    <w:qFormat/>
    <w:uiPriority w:val="0"/>
    <w:rPr>
      <w:rFonts w:hint="eastAsia" w:ascii="仿宋" w:hAnsi="仿宋" w:eastAsia="仿宋" w:cs="仿宋"/>
      <w:color w:val="000000"/>
      <w:sz w:val="20"/>
      <w:szCs w:val="20"/>
      <w:u w:val="none"/>
    </w:rPr>
  </w:style>
  <w:style w:type="character" w:customStyle="1" w:styleId="10">
    <w:name w:val="font01"/>
    <w:basedOn w:val="6"/>
    <w:qFormat/>
    <w:uiPriority w:val="0"/>
    <w:rPr>
      <w:rFonts w:ascii="仿宋_GB2312" w:eastAsia="仿宋_GB2312" w:cs="仿宋_GB2312"/>
      <w:color w:val="000000"/>
      <w:sz w:val="20"/>
      <w:szCs w:val="20"/>
      <w:u w:val="none"/>
    </w:rPr>
  </w:style>
  <w:style w:type="character" w:customStyle="1" w:styleId="11">
    <w:name w:val="font51"/>
    <w:basedOn w:val="6"/>
    <w:qFormat/>
    <w:uiPriority w:val="0"/>
    <w:rPr>
      <w:rFonts w:hint="eastAsia" w:ascii="宋体" w:hAnsi="宋体" w:eastAsia="宋体" w:cs="宋体"/>
      <w:color w:val="0070C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2019-09-24T04:03:00Z</dcterms:created>
  <dc:creator>Administrator</dc:creator>
  <cp:lastModifiedBy>Dolly</cp:lastModifiedBy>
  <dcterms:modified xsi:type="dcterms:W3CDTF">2020-12-11T08:55:12Z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