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D22D2A">
      <w:pPr>
        <w:spacing w:line="586" w:lineRule="exact"/>
        <w:rPr>
          <w:rFonts w:ascii="黑体" w:hAnsi="黑体" w:eastAsia="黑体" w:cs="黑体"/>
          <w:sz w:val="32"/>
          <w:szCs w:val="32"/>
          <w:lang w:eastAsia="zh-CN"/>
        </w:rPr>
      </w:pPr>
      <w:r>
        <w:rPr>
          <w:rFonts w:ascii="黑体" w:hAnsi="黑体" w:eastAsia="黑体" w:cs="黑体"/>
          <w:spacing w:val="14"/>
          <w:sz w:val="32"/>
          <w:szCs w:val="32"/>
          <w:lang w:eastAsia="zh-CN"/>
        </w:rPr>
        <w:t>附件1</w:t>
      </w:r>
    </w:p>
    <w:p w14:paraId="2C1B6A8B">
      <w:pPr>
        <w:spacing w:line="586" w:lineRule="exact"/>
        <w:jc w:val="center"/>
        <w:rPr>
          <w:rFonts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pacing w:val="24"/>
          <w:sz w:val="44"/>
          <w:szCs w:val="44"/>
          <w:lang w:eastAsia="zh-CN"/>
        </w:rPr>
        <w:t>晋城市城区住房和城乡建设管理局行政执法事项目录清单</w:t>
      </w:r>
    </w:p>
    <w:p w14:paraId="32D31882">
      <w:pPr>
        <w:spacing w:line="195" w:lineRule="exact"/>
        <w:rPr>
          <w:lang w:eastAsia="zh-CN"/>
        </w:rPr>
      </w:pPr>
    </w:p>
    <w:p w14:paraId="45E5B037">
      <w:pPr>
        <w:spacing w:line="195" w:lineRule="exact"/>
        <w:rPr>
          <w:lang w:eastAsia="zh-CN"/>
        </w:rPr>
        <w:sectPr>
          <w:footerReference r:id="rId3" w:type="default"/>
          <w:pgSz w:w="16820" w:h="11900"/>
          <w:pgMar w:top="1011" w:right="1205" w:bottom="400" w:left="929" w:header="0" w:footer="0" w:gutter="0"/>
          <w:cols w:equalWidth="0" w:num="1">
            <w:col w:w="14685"/>
          </w:cols>
          <w:docGrid w:linePitch="0" w:charSpace="0"/>
        </w:sectPr>
      </w:pPr>
    </w:p>
    <w:p w14:paraId="6B07752A">
      <w:pPr>
        <w:spacing w:before="69" w:line="184" w:lineRule="auto"/>
        <w:ind w:left="159"/>
        <w:rPr>
          <w:rFonts w:ascii="宋体" w:hAnsi="宋体" w:eastAsia="宋体" w:cs="宋体"/>
          <w:sz w:val="31"/>
          <w:szCs w:val="31"/>
          <w:lang w:eastAsia="zh-CN"/>
        </w:rPr>
      </w:pPr>
      <w:r>
        <w:rPr>
          <w:rFonts w:ascii="宋体" w:hAnsi="宋体" w:eastAsia="宋体" w:cs="宋体"/>
          <w:spacing w:val="6"/>
          <w:sz w:val="31"/>
          <w:szCs w:val="31"/>
          <w:lang w:eastAsia="zh-CN"/>
        </w:rPr>
        <w:t>填报单位(盖章):</w:t>
      </w:r>
    </w:p>
    <w:p w14:paraId="1826BCCE">
      <w:pPr>
        <w:spacing w:line="14" w:lineRule="auto"/>
        <w:rPr>
          <w:sz w:val="2"/>
          <w:lang w:eastAsia="zh-CN"/>
        </w:rPr>
      </w:pPr>
      <w:r>
        <w:rPr>
          <w:sz w:val="2"/>
          <w:szCs w:val="2"/>
          <w:lang w:eastAsia="zh-CN"/>
        </w:rPr>
        <w:br w:type="column"/>
      </w:r>
    </w:p>
    <w:p w14:paraId="2125D7B8">
      <w:pPr>
        <w:spacing w:before="61" w:line="188" w:lineRule="auto"/>
        <w:rPr>
          <w:rFonts w:ascii="宋体" w:hAnsi="宋体" w:eastAsia="宋体" w:cs="宋体"/>
          <w:sz w:val="31"/>
          <w:szCs w:val="31"/>
          <w:lang w:eastAsia="zh-CN"/>
        </w:rPr>
      </w:pPr>
      <w:r>
        <w:rPr>
          <w:rFonts w:ascii="宋体" w:hAnsi="宋体" w:eastAsia="宋体" w:cs="宋体"/>
          <w:spacing w:val="-1"/>
          <w:sz w:val="31"/>
          <w:szCs w:val="31"/>
          <w:lang w:eastAsia="zh-CN"/>
        </w:rPr>
        <w:t>联系人和联系方式：</w:t>
      </w:r>
    </w:p>
    <w:p w14:paraId="33BFD13B">
      <w:pPr>
        <w:spacing w:line="188" w:lineRule="auto"/>
        <w:rPr>
          <w:rFonts w:ascii="宋体" w:hAnsi="宋体" w:eastAsia="宋体" w:cs="宋体"/>
          <w:sz w:val="31"/>
          <w:szCs w:val="31"/>
          <w:lang w:eastAsia="zh-CN"/>
        </w:rPr>
        <w:sectPr>
          <w:type w:val="continuous"/>
          <w:pgSz w:w="16820" w:h="11900"/>
          <w:pgMar w:top="1011" w:right="1205" w:bottom="400" w:left="929" w:header="0" w:footer="0" w:gutter="0"/>
          <w:cols w:equalWidth="0" w:num="2">
            <w:col w:w="9640" w:space="100"/>
            <w:col w:w="4946"/>
          </w:cols>
          <w:docGrid w:linePitch="0" w:charSpace="0"/>
        </w:sectPr>
      </w:pPr>
    </w:p>
    <w:p w14:paraId="572CC34F">
      <w:pPr>
        <w:spacing w:line="92" w:lineRule="auto"/>
        <w:rPr>
          <w:sz w:val="2"/>
          <w:lang w:eastAsia="zh-CN"/>
        </w:rPr>
      </w:pPr>
    </w:p>
    <w:tbl>
      <w:tblPr>
        <w:tblStyle w:val="7"/>
        <w:tblW w:w="1467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9"/>
        <w:gridCol w:w="2878"/>
        <w:gridCol w:w="1759"/>
        <w:gridCol w:w="4057"/>
        <w:gridCol w:w="1939"/>
        <w:gridCol w:w="2028"/>
        <w:gridCol w:w="1084"/>
      </w:tblGrid>
      <w:tr w14:paraId="24270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7" w:hRule="atLeast"/>
        </w:trPr>
        <w:tc>
          <w:tcPr>
            <w:tcW w:w="929" w:type="dxa"/>
          </w:tcPr>
          <w:p w14:paraId="6B4D8151">
            <w:pPr>
              <w:pStyle w:val="8"/>
              <w:spacing w:line="277" w:lineRule="auto"/>
              <w:rPr>
                <w:lang w:eastAsia="zh-CN"/>
              </w:rPr>
            </w:pPr>
          </w:p>
          <w:p w14:paraId="1766F58B">
            <w:pPr>
              <w:spacing w:before="101" w:line="221" w:lineRule="auto"/>
              <w:ind w:left="174"/>
              <w:rPr>
                <w:rFonts w:ascii="宋体" w:hAnsi="宋体" w:eastAsia="宋体" w:cs="宋体"/>
                <w:sz w:val="31"/>
                <w:szCs w:val="31"/>
              </w:rPr>
            </w:pPr>
            <w:r>
              <w:drawing>
                <wp:anchor distT="0" distB="0" distL="0" distR="0" simplePos="0" relativeHeight="251659264" behindDoc="1" locked="0" layoutInCell="1" allowOverlap="1">
                  <wp:simplePos x="0" y="0"/>
                  <wp:positionH relativeFrom="column">
                    <wp:posOffset>-6350</wp:posOffset>
                  </wp:positionH>
                  <wp:positionV relativeFrom="paragraph">
                    <wp:posOffset>-183515</wp:posOffset>
                  </wp:positionV>
                  <wp:extent cx="1638300" cy="1657350"/>
                  <wp:effectExtent l="0" t="0" r="0" b="0"/>
                  <wp:wrapNone/>
                  <wp:docPr id="1" name="IM 8"/>
                  <wp:cNvGraphicFramePr/>
                  <a:graphic xmlns:a="http://schemas.openxmlformats.org/drawingml/2006/main">
                    <a:graphicData uri="http://schemas.openxmlformats.org/drawingml/2006/picture">
                      <pic:pic xmlns:pic="http://schemas.openxmlformats.org/drawingml/2006/picture">
                        <pic:nvPicPr>
                          <pic:cNvPr id="1" name="IM 8"/>
                          <pic:cNvPicPr/>
                        </pic:nvPicPr>
                        <pic:blipFill>
                          <a:blip r:embed="rId5"/>
                          <a:stretch>
                            <a:fillRect/>
                          </a:stretch>
                        </pic:blipFill>
                        <pic:spPr>
                          <a:xfrm>
                            <a:off x="0" y="0"/>
                            <a:ext cx="1638312" cy="1657367"/>
                          </a:xfrm>
                          <a:prstGeom prst="rect">
                            <a:avLst/>
                          </a:prstGeom>
                        </pic:spPr>
                      </pic:pic>
                    </a:graphicData>
                  </a:graphic>
                </wp:anchor>
              </w:drawing>
            </w:r>
            <w:r>
              <w:rPr>
                <w:rFonts w:ascii="宋体" w:hAnsi="宋体" w:eastAsia="宋体" w:cs="宋体"/>
                <w:b/>
                <w:bCs/>
                <w:spacing w:val="1"/>
                <w:sz w:val="31"/>
                <w:szCs w:val="31"/>
              </w:rPr>
              <w:t>序号</w:t>
            </w:r>
          </w:p>
        </w:tc>
        <w:tc>
          <w:tcPr>
            <w:tcW w:w="2878" w:type="dxa"/>
          </w:tcPr>
          <w:p w14:paraId="63E68560">
            <w:pPr>
              <w:pStyle w:val="8"/>
              <w:spacing w:line="276" w:lineRule="auto"/>
            </w:pPr>
          </w:p>
          <w:p w14:paraId="1D979057">
            <w:pPr>
              <w:spacing w:before="101" w:line="220" w:lineRule="auto"/>
              <w:ind w:left="805"/>
              <w:rPr>
                <w:rFonts w:ascii="宋体" w:hAnsi="宋体" w:eastAsia="宋体" w:cs="宋体"/>
                <w:sz w:val="31"/>
                <w:szCs w:val="31"/>
              </w:rPr>
            </w:pPr>
            <w:r>
              <w:rPr>
                <w:rFonts w:ascii="宋体" w:hAnsi="宋体" w:eastAsia="宋体" w:cs="宋体"/>
                <w:b/>
                <w:bCs/>
                <w:spacing w:val="-6"/>
                <w:sz w:val="31"/>
                <w:szCs w:val="31"/>
              </w:rPr>
              <w:t>事项名称</w:t>
            </w:r>
          </w:p>
        </w:tc>
        <w:tc>
          <w:tcPr>
            <w:tcW w:w="1759" w:type="dxa"/>
          </w:tcPr>
          <w:p w14:paraId="5A8912A0">
            <w:pPr>
              <w:pStyle w:val="8"/>
              <w:spacing w:line="276" w:lineRule="auto"/>
            </w:pPr>
          </w:p>
          <w:p w14:paraId="579C66BB">
            <w:pPr>
              <w:spacing w:before="100" w:line="219" w:lineRule="auto"/>
              <w:ind w:left="257"/>
              <w:rPr>
                <w:rFonts w:ascii="宋体" w:hAnsi="宋体" w:eastAsia="宋体" w:cs="宋体"/>
                <w:sz w:val="31"/>
                <w:szCs w:val="31"/>
              </w:rPr>
            </w:pPr>
            <w:r>
              <w:rPr>
                <w:rFonts w:ascii="宋体" w:hAnsi="宋体" w:eastAsia="宋体" w:cs="宋体"/>
                <w:b/>
                <w:bCs/>
                <w:spacing w:val="-1"/>
                <w:sz w:val="31"/>
                <w:szCs w:val="31"/>
              </w:rPr>
              <w:t>事项类型</w:t>
            </w:r>
          </w:p>
        </w:tc>
        <w:tc>
          <w:tcPr>
            <w:tcW w:w="4057" w:type="dxa"/>
          </w:tcPr>
          <w:p w14:paraId="261DEF46">
            <w:pPr>
              <w:pStyle w:val="8"/>
              <w:spacing w:line="273" w:lineRule="auto"/>
            </w:pPr>
          </w:p>
          <w:p w14:paraId="65711403">
            <w:pPr>
              <w:spacing w:before="101" w:line="219" w:lineRule="auto"/>
              <w:ind w:left="1418"/>
              <w:rPr>
                <w:rFonts w:ascii="宋体" w:hAnsi="宋体" w:eastAsia="宋体" w:cs="宋体"/>
                <w:sz w:val="31"/>
                <w:szCs w:val="31"/>
              </w:rPr>
            </w:pPr>
            <w:r>
              <w:rPr>
                <w:rFonts w:ascii="宋体" w:hAnsi="宋体" w:eastAsia="宋体" w:cs="宋体"/>
                <w:b/>
                <w:bCs/>
                <w:spacing w:val="-1"/>
                <w:sz w:val="31"/>
                <w:szCs w:val="31"/>
              </w:rPr>
              <w:t>事项依据</w:t>
            </w:r>
          </w:p>
        </w:tc>
        <w:tc>
          <w:tcPr>
            <w:tcW w:w="1939" w:type="dxa"/>
          </w:tcPr>
          <w:p w14:paraId="3E19B126">
            <w:pPr>
              <w:pStyle w:val="8"/>
              <w:spacing w:line="276" w:lineRule="auto"/>
            </w:pPr>
          </w:p>
          <w:p w14:paraId="7AADD485">
            <w:pPr>
              <w:spacing w:before="100" w:line="219" w:lineRule="auto"/>
              <w:ind w:left="351"/>
              <w:rPr>
                <w:rFonts w:ascii="宋体" w:hAnsi="宋体" w:eastAsia="宋体" w:cs="宋体"/>
                <w:sz w:val="31"/>
                <w:szCs w:val="31"/>
              </w:rPr>
            </w:pPr>
            <w:r>
              <w:rPr>
                <w:rFonts w:ascii="宋体" w:hAnsi="宋体" w:eastAsia="宋体" w:cs="宋体"/>
                <w:b/>
                <w:bCs/>
                <w:spacing w:val="-3"/>
                <w:sz w:val="31"/>
                <w:szCs w:val="31"/>
              </w:rPr>
              <w:t>责任主体</w:t>
            </w:r>
          </w:p>
        </w:tc>
        <w:tc>
          <w:tcPr>
            <w:tcW w:w="2028" w:type="dxa"/>
          </w:tcPr>
          <w:p w14:paraId="79BEEAB9">
            <w:pPr>
              <w:pStyle w:val="8"/>
              <w:spacing w:line="276" w:lineRule="auto"/>
            </w:pPr>
          </w:p>
          <w:p w14:paraId="2C3FB784">
            <w:pPr>
              <w:spacing w:before="101" w:line="220" w:lineRule="auto"/>
              <w:ind w:left="402"/>
              <w:rPr>
                <w:rFonts w:ascii="宋体" w:hAnsi="宋体" w:eastAsia="宋体" w:cs="宋体"/>
                <w:sz w:val="31"/>
                <w:szCs w:val="31"/>
              </w:rPr>
            </w:pPr>
            <w:r>
              <w:rPr>
                <w:rFonts w:ascii="宋体" w:hAnsi="宋体" w:eastAsia="宋体" w:cs="宋体"/>
                <w:b/>
                <w:bCs/>
                <w:spacing w:val="-3"/>
                <w:sz w:val="31"/>
                <w:szCs w:val="31"/>
              </w:rPr>
              <w:t>实施主体</w:t>
            </w:r>
          </w:p>
        </w:tc>
        <w:tc>
          <w:tcPr>
            <w:tcW w:w="1084" w:type="dxa"/>
          </w:tcPr>
          <w:p w14:paraId="2370039E">
            <w:pPr>
              <w:pStyle w:val="8"/>
              <w:spacing w:line="277" w:lineRule="auto"/>
            </w:pPr>
          </w:p>
          <w:p w14:paraId="1B4794E0">
            <w:pPr>
              <w:spacing w:before="101" w:line="221" w:lineRule="auto"/>
              <w:ind w:left="244"/>
              <w:rPr>
                <w:rFonts w:ascii="宋体" w:hAnsi="宋体" w:eastAsia="宋体" w:cs="宋体"/>
                <w:sz w:val="31"/>
                <w:szCs w:val="31"/>
              </w:rPr>
            </w:pPr>
            <w:r>
              <w:rPr>
                <w:rFonts w:ascii="宋体" w:hAnsi="宋体" w:eastAsia="宋体" w:cs="宋体"/>
                <w:b/>
                <w:bCs/>
                <w:sz w:val="31"/>
                <w:szCs w:val="31"/>
              </w:rPr>
              <w:t>备注</w:t>
            </w:r>
          </w:p>
        </w:tc>
      </w:tr>
      <w:tr w14:paraId="2058A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8" w:hRule="atLeast"/>
        </w:trPr>
        <w:tc>
          <w:tcPr>
            <w:tcW w:w="929" w:type="dxa"/>
          </w:tcPr>
          <w:p w14:paraId="09041F70">
            <w:pPr>
              <w:pStyle w:val="8"/>
              <w:jc w:val="center"/>
              <w:rPr>
                <w:rFonts w:hint="default" w:eastAsia="宋体"/>
                <w:lang w:val="en-US" w:eastAsia="zh-CN"/>
              </w:rPr>
            </w:pPr>
            <w:r>
              <w:rPr>
                <w:rFonts w:hint="eastAsia" w:eastAsia="宋体"/>
                <w:lang w:val="en-US" w:eastAsia="zh-CN"/>
              </w:rPr>
              <w:t>1</w:t>
            </w:r>
          </w:p>
        </w:tc>
        <w:tc>
          <w:tcPr>
            <w:tcW w:w="2878" w:type="dxa"/>
          </w:tcPr>
          <w:p w14:paraId="7E36D171">
            <w:pPr>
              <w:pStyle w:val="8"/>
              <w:rPr>
                <w:lang w:eastAsia="zh-CN"/>
              </w:rPr>
            </w:pPr>
            <w:r>
              <w:rPr>
                <w:rFonts w:hint="eastAsia" w:ascii="宋体" w:hAnsi="宋体" w:eastAsia="宋体" w:cs="宋体"/>
                <w:lang w:eastAsia="zh-CN"/>
              </w:rPr>
              <w:t>民用建筑节能的监督管理工作</w:t>
            </w:r>
          </w:p>
        </w:tc>
        <w:tc>
          <w:tcPr>
            <w:tcW w:w="1759" w:type="dxa"/>
          </w:tcPr>
          <w:p w14:paraId="180DE060">
            <w:pPr>
              <w:pStyle w:val="8"/>
              <w:rPr>
                <w:lang w:eastAsia="zh-CN"/>
              </w:rPr>
            </w:pPr>
            <w:r>
              <w:rPr>
                <w:rFonts w:hint="eastAsia" w:ascii="宋体" w:hAnsi="宋体" w:eastAsia="宋体" w:cs="宋体"/>
                <w:lang w:eastAsia="zh-CN"/>
              </w:rPr>
              <w:t>行政检查</w:t>
            </w:r>
          </w:p>
        </w:tc>
        <w:tc>
          <w:tcPr>
            <w:tcW w:w="4057" w:type="dxa"/>
          </w:tcPr>
          <w:p w14:paraId="0382BF9A">
            <w:pPr>
              <w:pStyle w:val="8"/>
              <w:rPr>
                <w:lang w:eastAsia="zh-CN"/>
              </w:rPr>
            </w:pPr>
            <w:r>
              <w:rPr>
                <w:lang w:eastAsia="zh-CN"/>
              </w:rPr>
              <w:t>1.</w:t>
            </w:r>
            <w:r>
              <w:rPr>
                <w:rFonts w:hint="eastAsia" w:ascii="宋体" w:hAnsi="宋体" w:eastAsia="宋体" w:cs="宋体"/>
                <w:lang w:eastAsia="zh-CN"/>
              </w:rPr>
              <w:t>《民用建筑节能条例》（国务院令第</w:t>
            </w:r>
            <w:r>
              <w:rPr>
                <w:lang w:eastAsia="zh-CN"/>
              </w:rPr>
              <w:t>530</w:t>
            </w:r>
            <w:r>
              <w:rPr>
                <w:rFonts w:hint="eastAsia" w:ascii="宋体" w:hAnsi="宋体" w:eastAsia="宋体" w:cs="宋体"/>
                <w:lang w:eastAsia="zh-CN"/>
              </w:rPr>
              <w:t>号）第五条</w:t>
            </w:r>
            <w:r>
              <w:rPr>
                <w:lang w:eastAsia="zh-CN"/>
              </w:rPr>
              <w:t xml:space="preserve">  </w:t>
            </w:r>
            <w:r>
              <w:rPr>
                <w:rFonts w:hint="eastAsia" w:ascii="宋体" w:hAnsi="宋体" w:eastAsia="宋体" w:cs="宋体"/>
                <w:lang w:eastAsia="zh-CN"/>
              </w:rPr>
              <w:t>国务院建设主管部门负责全国民用建筑节能的监督管理工作。县级以上地方人民政府建设主管部门负责本行政区域民用建筑节能的监督管理工作。</w:t>
            </w:r>
            <w:r>
              <w:rPr>
                <w:lang w:eastAsia="zh-CN"/>
              </w:rPr>
              <w:t xml:space="preserve">       2.</w:t>
            </w:r>
            <w:r>
              <w:rPr>
                <w:rFonts w:hint="eastAsia" w:ascii="宋体" w:hAnsi="宋体" w:eastAsia="宋体" w:cs="宋体"/>
                <w:lang w:eastAsia="zh-CN"/>
              </w:rPr>
              <w:t>《山西省民用建筑节能条例》第七条</w:t>
            </w:r>
            <w:r>
              <w:rPr>
                <w:lang w:eastAsia="zh-CN"/>
              </w:rPr>
              <w:t xml:space="preserve"> </w:t>
            </w:r>
            <w:r>
              <w:rPr>
                <w:rFonts w:hint="eastAsia" w:ascii="宋体" w:hAnsi="宋体" w:eastAsia="宋体" w:cs="宋体"/>
                <w:lang w:eastAsia="zh-CN"/>
              </w:rPr>
              <w:t>县级以上人民政府建设主管部门负责本行政区域内民用建筑节能的监督管理工作，主要履行下列职责</w:t>
            </w:r>
            <w:r>
              <w:rPr>
                <w:lang w:eastAsia="zh-CN"/>
              </w:rPr>
              <w:t>:</w:t>
            </w:r>
          </w:p>
          <w:p w14:paraId="49FD24BA">
            <w:pPr>
              <w:pStyle w:val="8"/>
              <w:rPr>
                <w:lang w:eastAsia="zh-CN"/>
              </w:rPr>
            </w:pPr>
            <w:r>
              <w:rPr>
                <w:rFonts w:hint="eastAsia"/>
                <w:lang w:eastAsia="zh-CN"/>
              </w:rPr>
              <w:t>……</w:t>
            </w:r>
            <w:r>
              <w:rPr>
                <w:rFonts w:hint="eastAsia" w:ascii="宋体" w:hAnsi="宋体" w:eastAsia="宋体" w:cs="宋体"/>
                <w:lang w:eastAsia="zh-CN"/>
              </w:rPr>
              <w:t>县级以上人民政府建设主管部门可以委托符合《中华人民共和国行政处罚法》第十九条规定条件的建筑节能管理机构，实施民用建筑节能监督管理的具体工作。</w:t>
            </w:r>
          </w:p>
          <w:p w14:paraId="67659452">
            <w:pPr>
              <w:pStyle w:val="8"/>
              <w:rPr>
                <w:lang w:eastAsia="zh-CN"/>
              </w:rPr>
            </w:pPr>
            <w:r>
              <w:rPr>
                <w:lang w:eastAsia="zh-CN"/>
              </w:rPr>
              <w:t>3.</w:t>
            </w:r>
            <w:r>
              <w:rPr>
                <w:rFonts w:hint="eastAsia" w:ascii="宋体" w:hAnsi="宋体" w:eastAsia="宋体" w:cs="宋体"/>
                <w:lang w:eastAsia="zh-CN"/>
              </w:rPr>
              <w:t>《山西省绿色建筑发展条例》第四条</w:t>
            </w:r>
            <w:r>
              <w:rPr>
                <w:lang w:eastAsia="zh-CN"/>
              </w:rPr>
              <w:t xml:space="preserve">  </w:t>
            </w:r>
            <w:r>
              <w:rPr>
                <w:rFonts w:hint="eastAsia" w:ascii="宋体" w:hAnsi="宋体" w:eastAsia="宋体" w:cs="宋体"/>
                <w:lang w:eastAsia="zh-CN"/>
              </w:rPr>
              <w:t>县级以上人民政府住房和城乡建设主管部门负责本行政区域内绿色建筑活动的指导和监督管理。</w:t>
            </w:r>
          </w:p>
        </w:tc>
        <w:tc>
          <w:tcPr>
            <w:tcW w:w="1939" w:type="dxa"/>
          </w:tcPr>
          <w:p w14:paraId="3EF7F8A3">
            <w:pPr>
              <w:pStyle w:val="8"/>
              <w:rPr>
                <w:lang w:eastAsia="zh-CN"/>
              </w:rPr>
            </w:pPr>
            <w:r>
              <w:rPr>
                <w:rFonts w:hint="eastAsia" w:ascii="宋体" w:hAnsi="宋体" w:eastAsia="宋体" w:cs="宋体"/>
                <w:lang w:eastAsia="zh-CN"/>
              </w:rPr>
              <w:t>晋城市城区住房和城乡建设管理局</w:t>
            </w:r>
          </w:p>
        </w:tc>
        <w:tc>
          <w:tcPr>
            <w:tcW w:w="2028" w:type="dxa"/>
          </w:tcPr>
          <w:p w14:paraId="4A0A5FCE">
            <w:pPr>
              <w:pStyle w:val="8"/>
              <w:rPr>
                <w:lang w:eastAsia="zh-CN"/>
              </w:rPr>
            </w:pPr>
            <w:bookmarkStart w:id="0" w:name="OLE_LINK1"/>
            <w:r>
              <w:rPr>
                <w:rFonts w:hint="eastAsia" w:ascii="宋体" w:hAnsi="宋体" w:eastAsia="宋体" w:cs="宋体"/>
                <w:lang w:eastAsia="zh-CN"/>
              </w:rPr>
              <w:t>晋城市城区住房和城乡建设管理局</w:t>
            </w:r>
            <w:bookmarkEnd w:id="0"/>
          </w:p>
        </w:tc>
        <w:tc>
          <w:tcPr>
            <w:tcW w:w="1084" w:type="dxa"/>
          </w:tcPr>
          <w:p w14:paraId="0B0A2C78">
            <w:pPr>
              <w:pStyle w:val="8"/>
              <w:rPr>
                <w:lang w:eastAsia="zh-CN"/>
              </w:rPr>
            </w:pPr>
          </w:p>
        </w:tc>
      </w:tr>
      <w:tr w14:paraId="0D700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8" w:hRule="atLeast"/>
        </w:trPr>
        <w:tc>
          <w:tcPr>
            <w:tcW w:w="929" w:type="dxa"/>
          </w:tcPr>
          <w:p w14:paraId="042928E8">
            <w:pPr>
              <w:pStyle w:val="8"/>
              <w:jc w:val="center"/>
              <w:rPr>
                <w:rFonts w:hint="default"/>
                <w:lang w:val="en-US" w:eastAsia="zh-CN"/>
              </w:rPr>
            </w:pPr>
            <w:r>
              <w:rPr>
                <w:rFonts w:hint="eastAsia"/>
                <w:lang w:val="en-US" w:eastAsia="zh-CN"/>
              </w:rPr>
              <w:t>2</w:t>
            </w:r>
          </w:p>
        </w:tc>
        <w:tc>
          <w:tcPr>
            <w:tcW w:w="2878" w:type="dxa"/>
            <w:vAlign w:val="top"/>
          </w:tcPr>
          <w:p w14:paraId="3A12F4D1">
            <w:pPr>
              <w:pStyle w:val="8"/>
              <w:rPr>
                <w:rFonts w:hint="default" w:ascii="Arial" w:hAnsi="Arial" w:eastAsia="宋体" w:cs="Arial"/>
                <w:color w:val="000000"/>
                <w:sz w:val="21"/>
                <w:szCs w:val="21"/>
                <w:lang w:val="en-US" w:eastAsia="zh-CN" w:bidi="ar-SA"/>
              </w:rPr>
            </w:pPr>
            <w:r>
              <w:rPr>
                <w:rFonts w:hint="eastAsia" w:eastAsia="宋体"/>
                <w:lang w:val="en-US" w:eastAsia="zh-CN"/>
              </w:rPr>
              <w:t>建设工程安全生产监督管理工作</w:t>
            </w:r>
          </w:p>
        </w:tc>
        <w:tc>
          <w:tcPr>
            <w:tcW w:w="1759" w:type="dxa"/>
            <w:vAlign w:val="top"/>
          </w:tcPr>
          <w:p w14:paraId="0446DA09">
            <w:pPr>
              <w:pStyle w:val="8"/>
              <w:rPr>
                <w:rFonts w:ascii="Arial" w:hAnsi="Arial" w:eastAsia="Arial" w:cs="Arial"/>
                <w:color w:val="000000"/>
                <w:sz w:val="21"/>
                <w:szCs w:val="21"/>
                <w:lang w:val="en-US" w:eastAsia="zh-CN" w:bidi="ar-SA"/>
              </w:rPr>
            </w:pPr>
            <w:r>
              <w:rPr>
                <w:rFonts w:hint="eastAsia" w:eastAsia="宋体"/>
                <w:lang w:val="en-US" w:eastAsia="zh-CN"/>
              </w:rPr>
              <w:t>行政检查</w:t>
            </w:r>
          </w:p>
        </w:tc>
        <w:tc>
          <w:tcPr>
            <w:tcW w:w="4057" w:type="dxa"/>
            <w:vAlign w:val="top"/>
          </w:tcPr>
          <w:p w14:paraId="5B350C49">
            <w:pPr>
              <w:pStyle w:val="8"/>
              <w:numPr>
                <w:ilvl w:val="0"/>
                <w:numId w:val="1"/>
              </w:numPr>
              <w:rPr>
                <w:rFonts w:hint="eastAsia" w:eastAsia="宋体"/>
                <w:lang w:val="en-US" w:eastAsia="zh-CN"/>
              </w:rPr>
            </w:pPr>
            <w:r>
              <w:rPr>
                <w:rFonts w:hint="eastAsia" w:eastAsia="宋体"/>
                <w:lang w:val="en-US" w:eastAsia="zh-CN"/>
              </w:rPr>
              <w:t>《中华人民共和国安全生产法》第六十二条：县级以上地方各级人民政府应当根据本行政区域内的安全生产状况，组织有关部门按照职责分工，对本行政区域内容易发生重大生产安全事故的生产经营单位进行严格检查</w:t>
            </w:r>
          </w:p>
          <w:p w14:paraId="6F942B67">
            <w:pPr>
              <w:pStyle w:val="8"/>
              <w:numPr>
                <w:ilvl w:val="0"/>
                <w:numId w:val="0"/>
              </w:numPr>
              <w:rPr>
                <w:rFonts w:hint="eastAsia" w:eastAsia="宋体"/>
                <w:lang w:val="en-US" w:eastAsia="zh-CN"/>
              </w:rPr>
            </w:pPr>
            <w:r>
              <w:rPr>
                <w:rFonts w:hint="eastAsia" w:eastAsia="宋体"/>
                <w:lang w:val="en-US" w:eastAsia="zh-CN"/>
              </w:rPr>
              <w:t>2.《中华人民共和国安全生产法》第六十五条：应急管理部门和其他负有安全生产监督管理职责的部门依法开展安全生产行政执法工作，对生产经营单位执行有关安全生产的法律、法规和国家标准或者行业标准的情况进行监督检查，行使以下职权:</w:t>
            </w:r>
          </w:p>
          <w:p w14:paraId="401A7614">
            <w:pPr>
              <w:pStyle w:val="8"/>
              <w:rPr>
                <w:rFonts w:hint="eastAsia" w:eastAsia="宋体"/>
                <w:lang w:val="en-US" w:eastAsia="zh-CN"/>
              </w:rPr>
            </w:pPr>
            <w:r>
              <w:rPr>
                <w:rFonts w:hint="eastAsia" w:eastAsia="宋体"/>
                <w:lang w:val="en-US" w:eastAsia="zh-CN"/>
              </w:rPr>
              <w:t>（一）进入生产经营单位进行检查，调阅有关资料，向有关单位和人员了解情况；</w:t>
            </w:r>
          </w:p>
          <w:p w14:paraId="56343DB6">
            <w:pPr>
              <w:pStyle w:val="8"/>
              <w:rPr>
                <w:rFonts w:hint="eastAsia" w:eastAsia="宋体"/>
                <w:lang w:val="en-US" w:eastAsia="zh-CN"/>
              </w:rPr>
            </w:pPr>
            <w:r>
              <w:rPr>
                <w:rFonts w:hint="eastAsia" w:eastAsia="宋体"/>
                <w:lang w:val="en-US" w:eastAsia="zh-CN"/>
              </w:rPr>
              <w:t>（二）对检查中发现的安全生产违法行为，当场予以纠正或者要求限期改正；对依法应当给予行政处罚的行为，依照本法和其他有关法律、行政法规的规定作出行政处罚决定</w:t>
            </w:r>
          </w:p>
          <w:p w14:paraId="1FEB74E8">
            <w:pPr>
              <w:pStyle w:val="8"/>
              <w:rPr>
                <w:rFonts w:hint="eastAsia" w:eastAsia="宋体"/>
                <w:lang w:val="en-US" w:eastAsia="zh-CN"/>
              </w:rPr>
            </w:pPr>
            <w:r>
              <w:rPr>
                <w:rFonts w:hint="eastAsia" w:eastAsia="宋体"/>
                <w:lang w:val="en-US" w:eastAsia="zh-CN"/>
              </w:rPr>
              <w:t>（三）对检查中发现的事故隐患，应当责令立即排除；重大事故隐患排除前或者排除过程中无法保证安全的，应当责令从危险区域内撤出作业人员，责令暂时停产停业或者停止使用相关设施、设备；重大事故隐患排除后，经审查同意，方可恢复生产经营和使用（四）对有根据认为不符合保障安全生产的国家标准或者行业标准的设施、设备、器材以及违法生产、储存、使用、经营、运输的危险物品予以查封或者扣押，对违法生产、储存、使用、经营危险物品的作业场所予以查封，并依法作出处理决定。</w:t>
            </w:r>
          </w:p>
          <w:p w14:paraId="40F0A7AF">
            <w:pPr>
              <w:pStyle w:val="8"/>
              <w:rPr>
                <w:rFonts w:hint="eastAsia" w:eastAsia="宋体"/>
                <w:lang w:val="en-US" w:eastAsia="zh-CN"/>
              </w:rPr>
            </w:pPr>
            <w:r>
              <w:rPr>
                <w:rFonts w:hint="eastAsia" w:eastAsia="宋体"/>
                <w:lang w:val="en-US" w:eastAsia="zh-CN"/>
              </w:rPr>
              <w:t>3.《建设工程安全生产管理条例》第四十条　国务院建设行政主管部门对全国的建设工程安全生产实施监督管理。国务院铁路、交通、水利等有关部门按照国务院规定的职责分工，负责有关专业建设工程安全生产的监督管理。</w:t>
            </w:r>
          </w:p>
          <w:p w14:paraId="19816886">
            <w:pPr>
              <w:pStyle w:val="8"/>
              <w:ind w:firstLine="420" w:firstLineChars="200"/>
              <w:rPr>
                <w:rFonts w:hint="eastAsia" w:eastAsia="宋体"/>
                <w:lang w:val="en-US" w:eastAsia="zh-CN"/>
              </w:rPr>
            </w:pPr>
            <w:r>
              <w:rPr>
                <w:rFonts w:hint="eastAsia" w:eastAsia="宋体"/>
                <w:lang w:val="en-US" w:eastAsia="zh-CN"/>
              </w:rPr>
              <w:t>县级以上地方人民政府建设行政主管部门对本行政区域内的建设工程安全生产实施监督管理。县级以上地方人民政府交通、水利等有关部门在各自的职责范围内，负责本行政区域内的专业建设工程安全生产的监督管理</w:t>
            </w:r>
          </w:p>
          <w:p w14:paraId="78C79E3F">
            <w:pPr>
              <w:pStyle w:val="8"/>
              <w:rPr>
                <w:rFonts w:hint="eastAsia" w:eastAsia="宋体"/>
                <w:lang w:val="en-US" w:eastAsia="zh-CN"/>
              </w:rPr>
            </w:pPr>
            <w:r>
              <w:rPr>
                <w:rFonts w:hint="eastAsia" w:eastAsia="宋体"/>
                <w:lang w:val="en-US" w:eastAsia="zh-CN"/>
              </w:rPr>
              <w:t>4.《山西省建筑工程质量和建筑安全生产管理条例》第三十五条 县级以上人民政府住房和城乡建设行政主管部门在建筑工程质量和建筑安全生产管理工作中应当履行下列职责:</w:t>
            </w:r>
          </w:p>
          <w:p w14:paraId="2B62E162">
            <w:pPr>
              <w:pStyle w:val="8"/>
              <w:ind w:firstLine="420" w:firstLineChars="200"/>
              <w:rPr>
                <w:rFonts w:hint="default" w:eastAsia="宋体"/>
                <w:lang w:val="en-US" w:eastAsia="zh-CN"/>
              </w:rPr>
            </w:pPr>
            <w:r>
              <w:rPr>
                <w:rFonts w:hint="eastAsia" w:eastAsia="宋体"/>
                <w:lang w:val="en-US" w:eastAsia="zh-CN"/>
              </w:rPr>
              <w:t>(一)监督检查国家、省有关建筑工程质量和建筑安全生产的法律、法规、技术标准、规范的执行情况</w:t>
            </w:r>
          </w:p>
          <w:p w14:paraId="2B32DCC0">
            <w:pPr>
              <w:pStyle w:val="8"/>
              <w:ind w:firstLine="420" w:firstLineChars="200"/>
              <w:rPr>
                <w:rFonts w:hint="eastAsia" w:eastAsia="宋体"/>
                <w:lang w:val="en-US" w:eastAsia="zh-CN"/>
              </w:rPr>
            </w:pPr>
            <w:r>
              <w:rPr>
                <w:rFonts w:hint="eastAsia" w:eastAsia="宋体"/>
                <w:lang w:val="en-US" w:eastAsia="zh-CN"/>
              </w:rPr>
              <w:t>(二)监督检查建筑工程各方责任主体的质量、安全行为和质量、安全生产保证体系</w:t>
            </w:r>
          </w:p>
          <w:p w14:paraId="78B83A25">
            <w:pPr>
              <w:pStyle w:val="8"/>
              <w:ind w:firstLine="420" w:firstLineChars="200"/>
              <w:rPr>
                <w:rFonts w:hint="eastAsia" w:eastAsia="宋体"/>
                <w:lang w:val="en-US" w:eastAsia="zh-CN"/>
              </w:rPr>
            </w:pPr>
            <w:r>
              <w:rPr>
                <w:rFonts w:hint="eastAsia" w:eastAsia="宋体"/>
                <w:lang w:val="en-US" w:eastAsia="zh-CN"/>
              </w:rPr>
              <w:t>(三)受理建筑工程质量、建筑安全生产方面的举报和投诉;</w:t>
            </w:r>
          </w:p>
          <w:p w14:paraId="3D3A64B6">
            <w:pPr>
              <w:pStyle w:val="8"/>
              <w:ind w:firstLine="420" w:firstLineChars="200"/>
              <w:rPr>
                <w:rFonts w:hint="default" w:ascii="Arial" w:hAnsi="Arial" w:eastAsia="宋体" w:cs="Arial"/>
                <w:color w:val="000000"/>
                <w:sz w:val="21"/>
                <w:szCs w:val="21"/>
                <w:lang w:val="en-US" w:eastAsia="zh-CN" w:bidi="ar-SA"/>
              </w:rPr>
            </w:pPr>
            <w:r>
              <w:rPr>
                <w:rFonts w:hint="eastAsia" w:eastAsia="宋体"/>
                <w:lang w:val="en-US" w:eastAsia="zh-CN"/>
              </w:rPr>
              <w:t>(四)查处违反建筑工程质量、建筑安全生产法律、法规、技术标准、规范的行为;</w:t>
            </w:r>
            <w:bookmarkStart w:id="1" w:name="_GoBack"/>
            <w:bookmarkEnd w:id="1"/>
            <w:r>
              <w:rPr>
                <w:rFonts w:hint="eastAsia" w:eastAsia="宋体"/>
                <w:lang w:val="en-US" w:eastAsia="zh-CN"/>
              </w:rPr>
              <w:t>（五)法律、法规规定的其他职责。</w:t>
            </w:r>
          </w:p>
        </w:tc>
        <w:tc>
          <w:tcPr>
            <w:tcW w:w="1939" w:type="dxa"/>
            <w:vAlign w:val="top"/>
          </w:tcPr>
          <w:p w14:paraId="47BE2CF5">
            <w:pPr>
              <w:pStyle w:val="8"/>
              <w:rPr>
                <w:rFonts w:ascii="Arial" w:hAnsi="Arial" w:eastAsia="Arial" w:cs="Arial"/>
                <w:color w:val="000000"/>
                <w:sz w:val="21"/>
                <w:szCs w:val="21"/>
                <w:lang w:val="en-US" w:eastAsia="zh-CN" w:bidi="ar-SA"/>
              </w:rPr>
            </w:pPr>
            <w:r>
              <w:rPr>
                <w:rFonts w:hint="eastAsia" w:ascii="宋体" w:hAnsi="宋体" w:eastAsia="宋体" w:cs="宋体"/>
                <w:lang w:eastAsia="zh-CN"/>
              </w:rPr>
              <w:t>晋城市城区住房和城乡建设管理局</w:t>
            </w:r>
          </w:p>
        </w:tc>
        <w:tc>
          <w:tcPr>
            <w:tcW w:w="2028" w:type="dxa"/>
            <w:vAlign w:val="top"/>
          </w:tcPr>
          <w:p w14:paraId="0A5D9A03">
            <w:pPr>
              <w:pStyle w:val="8"/>
              <w:rPr>
                <w:rFonts w:ascii="Arial" w:hAnsi="Arial" w:eastAsia="Arial" w:cs="Arial"/>
                <w:color w:val="000000"/>
                <w:sz w:val="21"/>
                <w:szCs w:val="21"/>
                <w:lang w:val="en-US" w:eastAsia="zh-CN" w:bidi="ar-SA"/>
              </w:rPr>
            </w:pPr>
            <w:r>
              <w:rPr>
                <w:rFonts w:hint="eastAsia" w:ascii="宋体" w:hAnsi="宋体" w:eastAsia="宋体" w:cs="宋体"/>
                <w:lang w:eastAsia="zh-CN"/>
              </w:rPr>
              <w:t>晋城市城区住房和城乡建设管理局</w:t>
            </w:r>
          </w:p>
        </w:tc>
        <w:tc>
          <w:tcPr>
            <w:tcW w:w="1084" w:type="dxa"/>
          </w:tcPr>
          <w:p w14:paraId="624F0B44">
            <w:pPr>
              <w:pStyle w:val="8"/>
              <w:rPr>
                <w:lang w:eastAsia="zh-CN"/>
              </w:rPr>
            </w:pPr>
          </w:p>
        </w:tc>
      </w:tr>
    </w:tbl>
    <w:p w14:paraId="1A9998A4">
      <w:pPr>
        <w:spacing w:before="67" w:line="219" w:lineRule="auto"/>
        <w:rPr>
          <w:rFonts w:ascii="宋体" w:hAnsi="宋体" w:eastAsia="仿宋" w:cs="宋体"/>
          <w:sz w:val="31"/>
          <w:szCs w:val="31"/>
          <w:lang w:eastAsia="zh-CN"/>
        </w:rPr>
      </w:pPr>
      <w:r>
        <w:rPr>
          <w:rFonts w:ascii="宋体" w:hAnsi="宋体" w:eastAsia="宋体" w:cs="宋体"/>
          <w:spacing w:val="9"/>
          <w:sz w:val="31"/>
          <w:szCs w:val="31"/>
          <w:lang w:eastAsia="zh-CN"/>
        </w:rPr>
        <w:t>注</w:t>
      </w:r>
      <w:r>
        <w:rPr>
          <w:rFonts w:hint="eastAsia" w:ascii="宋体" w:hAnsi="宋体" w:eastAsia="宋体" w:cs="宋体"/>
          <w:spacing w:val="9"/>
          <w:sz w:val="31"/>
          <w:szCs w:val="31"/>
          <w:lang w:eastAsia="zh-CN"/>
        </w:rPr>
        <w:t>：</w:t>
      </w:r>
      <w:r>
        <w:rPr>
          <w:rFonts w:hint="eastAsia" w:ascii="仿宋" w:hAnsi="仿宋" w:eastAsia="仿宋" w:cs="仿宋"/>
          <w:spacing w:val="9"/>
          <w:sz w:val="30"/>
          <w:szCs w:val="30"/>
          <w:lang w:eastAsia="zh-CN"/>
        </w:rPr>
        <w:t>1.事项名称填写的格式为“对</w:t>
      </w:r>
      <w:r>
        <w:rPr>
          <w:rFonts w:hint="eastAsia" w:ascii="仿宋" w:hAnsi="仿宋" w:eastAsia="仿宋" w:cs="仿宋"/>
          <w:sz w:val="30"/>
          <w:szCs w:val="30"/>
          <w:lang w:eastAsia="zh-CN"/>
        </w:rPr>
        <w:t>XXX</w:t>
      </w:r>
      <w:r>
        <w:rPr>
          <w:rFonts w:hint="eastAsia" w:ascii="仿宋" w:hAnsi="仿宋" w:eastAsia="仿宋" w:cs="仿宋"/>
          <w:spacing w:val="9"/>
          <w:sz w:val="30"/>
          <w:szCs w:val="30"/>
          <w:lang w:eastAsia="zh-CN"/>
        </w:rPr>
        <w:t>的行政处罚(强制......)”；</w:t>
      </w:r>
    </w:p>
    <w:p w14:paraId="11818D25">
      <w:pPr>
        <w:pStyle w:val="2"/>
        <w:spacing w:before="25"/>
        <w:ind w:right="52" w:firstLine="660" w:firstLineChars="200"/>
        <w:rPr>
          <w:sz w:val="30"/>
          <w:szCs w:val="30"/>
          <w:lang w:eastAsia="zh-CN"/>
        </w:rPr>
      </w:pPr>
      <w:r>
        <w:rPr>
          <w:spacing w:val="15"/>
          <w:sz w:val="30"/>
          <w:szCs w:val="30"/>
          <w:lang w:eastAsia="zh-CN"/>
        </w:rPr>
        <w:t>2.事项类型：</w:t>
      </w:r>
      <w:r>
        <w:rPr>
          <w:spacing w:val="50"/>
          <w:sz w:val="30"/>
          <w:szCs w:val="30"/>
          <w:lang w:eastAsia="zh-CN"/>
        </w:rPr>
        <w:t xml:space="preserve"> </w:t>
      </w:r>
      <w:r>
        <w:rPr>
          <w:color w:val="auto"/>
          <w:spacing w:val="15"/>
          <w:sz w:val="30"/>
          <w:szCs w:val="30"/>
          <w:lang w:eastAsia="zh-CN"/>
        </w:rPr>
        <w:t>行</w:t>
      </w:r>
      <w:r>
        <w:rPr>
          <w:spacing w:val="15"/>
          <w:sz w:val="30"/>
          <w:szCs w:val="30"/>
          <w:lang w:eastAsia="zh-CN"/>
        </w:rPr>
        <w:t>政处罚、行政许可、行政征收征用</w:t>
      </w:r>
      <w:r>
        <w:rPr>
          <w:color w:val="auto"/>
          <w:spacing w:val="15"/>
          <w:sz w:val="30"/>
          <w:szCs w:val="30"/>
          <w:lang w:eastAsia="zh-CN"/>
        </w:rPr>
        <w:t>、</w:t>
      </w:r>
      <w:r>
        <w:rPr>
          <w:color w:val="auto"/>
          <w:spacing w:val="-87"/>
          <w:sz w:val="30"/>
          <w:szCs w:val="30"/>
          <w:lang w:eastAsia="zh-CN"/>
        </w:rPr>
        <w:t xml:space="preserve"> </w:t>
      </w:r>
      <w:r>
        <w:rPr>
          <w:spacing w:val="15"/>
          <w:sz w:val="30"/>
          <w:szCs w:val="30"/>
          <w:lang w:eastAsia="zh-CN"/>
        </w:rPr>
        <w:t>行政确认、行政给付、行政强制、行</w:t>
      </w:r>
      <w:r>
        <w:rPr>
          <w:spacing w:val="14"/>
          <w:sz w:val="30"/>
          <w:szCs w:val="30"/>
          <w:lang w:eastAsia="zh-CN"/>
        </w:rPr>
        <w:t>政检查及</w:t>
      </w:r>
      <w:r>
        <w:rPr>
          <w:sz w:val="30"/>
          <w:szCs w:val="30"/>
          <w:lang w:eastAsia="zh-CN"/>
        </w:rPr>
        <w:t xml:space="preserve"> </w:t>
      </w:r>
      <w:r>
        <w:rPr>
          <w:spacing w:val="11"/>
          <w:sz w:val="30"/>
          <w:szCs w:val="30"/>
          <w:lang w:eastAsia="zh-CN"/>
        </w:rPr>
        <w:t>其他行政执法事项等；</w:t>
      </w:r>
    </w:p>
    <w:p w14:paraId="32107572">
      <w:pPr>
        <w:pStyle w:val="2"/>
        <w:spacing w:before="31" w:line="189" w:lineRule="auto"/>
        <w:ind w:firstLine="680" w:firstLineChars="200"/>
        <w:rPr>
          <w:spacing w:val="20"/>
          <w:sz w:val="30"/>
          <w:szCs w:val="30"/>
          <w:lang w:eastAsia="zh-CN"/>
        </w:rPr>
      </w:pPr>
      <w:r>
        <w:rPr>
          <w:spacing w:val="20"/>
          <w:sz w:val="30"/>
          <w:szCs w:val="30"/>
          <w:lang w:eastAsia="zh-CN"/>
        </w:rPr>
        <w:t>3.责任主体和实施主体均要填写单位规范全称</w:t>
      </w:r>
      <w:r>
        <w:rPr>
          <w:rFonts w:hint="eastAsia"/>
          <w:spacing w:val="20"/>
          <w:sz w:val="30"/>
          <w:szCs w:val="30"/>
          <w:lang w:eastAsia="zh-CN"/>
        </w:rPr>
        <w:t>；</w:t>
      </w:r>
    </w:p>
    <w:p w14:paraId="156D326D">
      <w:pPr>
        <w:pStyle w:val="2"/>
        <w:spacing w:before="31" w:line="189" w:lineRule="auto"/>
        <w:ind w:firstLine="680" w:firstLineChars="200"/>
        <w:rPr>
          <w:spacing w:val="20"/>
          <w:sz w:val="30"/>
          <w:szCs w:val="30"/>
          <w:lang w:eastAsia="zh-CN"/>
        </w:rPr>
        <w:sectPr>
          <w:type w:val="continuous"/>
          <w:pgSz w:w="16820" w:h="11900"/>
          <w:pgMar w:top="1011" w:right="1205" w:bottom="400" w:left="929" w:header="0" w:footer="0" w:gutter="0"/>
          <w:cols w:equalWidth="0" w:num="1">
            <w:col w:w="14685"/>
          </w:cols>
          <w:docGrid w:linePitch="0" w:charSpace="0"/>
        </w:sectPr>
      </w:pPr>
      <w:r>
        <w:rPr>
          <w:rFonts w:hint="eastAsia"/>
          <w:spacing w:val="20"/>
          <w:sz w:val="30"/>
          <w:szCs w:val="30"/>
          <w:lang w:eastAsia="zh-CN"/>
        </w:rPr>
        <w:t>4.涉企执法事项需在备注中体现。</w:t>
      </w:r>
    </w:p>
    <w:p w14:paraId="258C8CFF">
      <w:pPr>
        <w:spacing w:line="14" w:lineRule="auto"/>
        <w:rPr>
          <w:sz w:val="2"/>
          <w:lang w:eastAsia="zh-CN"/>
        </w:rPr>
      </w:pPr>
    </w:p>
    <w:sectPr>
      <w:type w:val="continuous"/>
      <w:pgSz w:w="16820" w:h="11900"/>
      <w:pgMar w:top="1011" w:right="1025" w:bottom="400" w:left="994" w:header="0" w:footer="0" w:gutter="0"/>
      <w:cols w:equalWidth="0" w:num="1">
        <w:col w:w="14800"/>
      </w:cols>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F83A5">
    <w:pPr>
      <w:spacing w:line="14" w:lineRule="auto"/>
      <w:rPr>
        <w:sz w:val="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4E3200"/>
    <w:multiLevelType w:val="singleLevel"/>
    <w:tmpl w:val="C14E3200"/>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compat>
    <w:spaceForUL/>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lhYzAyYjdkNzU2MjQ1MmNiMzI2OGRjZjZkZDFjNTMifQ=="/>
  </w:docVars>
  <w:rsids>
    <w:rsidRoot w:val="00E5262B"/>
    <w:rsid w:val="00213626"/>
    <w:rsid w:val="003F17C0"/>
    <w:rsid w:val="00E5262B"/>
    <w:rsid w:val="106D374C"/>
    <w:rsid w:val="1B5337B3"/>
    <w:rsid w:val="31DB6D80"/>
    <w:rsid w:val="327C0F63"/>
    <w:rsid w:val="32F67202"/>
    <w:rsid w:val="43351360"/>
    <w:rsid w:val="444B7032"/>
    <w:rsid w:val="45DF55EA"/>
    <w:rsid w:val="46C93056"/>
    <w:rsid w:val="48CA65BD"/>
    <w:rsid w:val="4FB44097"/>
    <w:rsid w:val="62C513D2"/>
    <w:rsid w:val="6FB36D7D"/>
    <w:rsid w:val="71905160"/>
    <w:rsid w:val="77881C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Theme="minorEastAsia" w:cs="Arial"/>
      </w:rPr>
    </w:rPrDefault>
    <w:pPrDefault/>
  </w:docDefaults>
  <w:latentStyles w:count="260" w:defQFormat="0" w:defUnhideWhenUsed="1" w:defSemiHidden="1" w:defUIPriority="99" w:defLockedState="0">
    <w:lsdException w:qFormat="1" w:unhideWhenUsed="0" w:uiPriority="0" w:name="Normal"/>
    <w:lsdException w:unhideWhenUsed="0" w:uiPriority="0" w:semiHidden="0" w:name="heading 1"/>
    <w:lsdException w:uiPriority="0" w:name="heading 2"/>
    <w:lsdException w:uiPriority="0" w:name="heading 3"/>
    <w:lsdException w:uiPriority="0" w:name="heading 4"/>
    <w:lsdException w:uiPriority="0" w:name="heading 5"/>
    <w:lsdException w:uiPriority="0" w:name="heading 6"/>
    <w:lsdException w:uiPriority="0" w:name="heading 7"/>
    <w:lsdException w:uiPriority="0" w:name="heading 8"/>
    <w:lsdException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pPr>
    <w:rPr>
      <w:rFonts w:ascii="Arial" w:hAnsi="Arial" w:eastAsia="Arial" w:cs="Arial"/>
      <w:color w:val="000000"/>
      <w:sz w:val="21"/>
      <w:szCs w:val="21"/>
      <w:lang w:val="en-US" w:eastAsia="en-US" w:bidi="ar-SA"/>
    </w:rPr>
  </w:style>
  <w:style w:type="character" w:default="1" w:styleId="6">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4"/>
      <w:szCs w:val="34"/>
    </w:rPr>
  </w:style>
  <w:style w:type="paragraph" w:styleId="3">
    <w:name w:val="footer"/>
    <w:basedOn w:val="1"/>
    <w:qFormat/>
    <w:uiPriority w:val="0"/>
    <w:pPr>
      <w:tabs>
        <w:tab w:val="center" w:pos="4153"/>
        <w:tab w:val="right" w:pos="8306"/>
      </w:tabs>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Table Text"/>
    <w:basedOn w:val="1"/>
    <w:semiHidden/>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1531</Words>
  <Characters>1554</Characters>
  <Lines>4</Lines>
  <Paragraphs>1</Paragraphs>
  <TotalTime>2</TotalTime>
  <ScaleCrop>false</ScaleCrop>
  <LinksUpToDate>false</LinksUpToDate>
  <CharactersWithSpaces>1571</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2024-08-02T01:05:00Z</dcterms:created>
  <dc:creator>admin</dc:creator>
  <cp:lastModifiedBy>霞光飞扬</cp:lastModifiedBy>
  <dcterms:modified xsi:type="dcterms:W3CDTF">2024-11-05T08:32:03Z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2024-05-22T10:50:18Z</vt:filetime>
  </property>
  <property fmtid="{D5CDD505-2E9C-101B-9397-08002B2CF9AE}" pid="4" name="UsrData">
    <vt:lpwstr>664d5d64524474001f09469fwl</vt:lpwstr>
  </property>
  <property fmtid="{D5CDD505-2E9C-101B-9397-08002B2CF9AE}" pid="5" name="KSOProductBuildVer">
    <vt:lpwstr>2052-12.1.0.18608</vt:lpwstr>
  </property>
  <property fmtid="{D5CDD505-2E9C-101B-9397-08002B2CF9AE}" pid="6" name="ICV">
    <vt:lpwstr>A550E410572C4EEEBFD51C3526B8B4E6_13</vt:lpwstr>
  </property>
</Properties>
</file>